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14B8" w14:textId="75B10AF9" w:rsidR="0064327D" w:rsidRDefault="00E86777" w:rsidP="00E86777">
      <w:pPr>
        <w:jc w:val="center"/>
        <w:rPr>
          <w:b/>
          <w:bCs/>
          <w:sz w:val="32"/>
          <w:szCs w:val="32"/>
        </w:rPr>
      </w:pPr>
      <w:r w:rsidRPr="00E86777">
        <w:rPr>
          <w:b/>
          <w:bCs/>
          <w:sz w:val="32"/>
          <w:szCs w:val="32"/>
        </w:rPr>
        <w:t>Anterior versus Posterior Approach in Surgical Treatment of Dorsolumber Spondylodiscitis</w:t>
      </w:r>
    </w:p>
    <w:p w14:paraId="6186227E" w14:textId="7B8B14A8" w:rsidR="00E86777" w:rsidRPr="00E464C2" w:rsidRDefault="00E86777" w:rsidP="00E86777">
      <w:r w:rsidRPr="00E464C2">
        <w:t>Hossam Saad, Mohamed G. ElAshhab, Ashraf Ismail, Mamdouh Elkaramany</w:t>
      </w:r>
    </w:p>
    <w:p w14:paraId="3E87464D" w14:textId="77777777" w:rsidR="00E86777" w:rsidRDefault="00E86777" w:rsidP="00E86777"/>
    <w:p w14:paraId="40DA9E8A" w14:textId="795BE098" w:rsidR="00E86777" w:rsidRPr="00B53A62" w:rsidRDefault="00E86777" w:rsidP="00E86777">
      <w:pPr>
        <w:rPr>
          <w:b/>
          <w:bCs/>
        </w:rPr>
      </w:pPr>
      <w:r w:rsidRPr="00B53A62">
        <w:rPr>
          <w:b/>
          <w:bCs/>
        </w:rPr>
        <w:t>Abstract</w:t>
      </w:r>
    </w:p>
    <w:p w14:paraId="2B62F455" w14:textId="106C5395" w:rsidR="00996838" w:rsidRDefault="00E86777" w:rsidP="00F96877">
      <w:r w:rsidRPr="00B53A62">
        <w:rPr>
          <w:b/>
          <w:bCs/>
        </w:rPr>
        <w:t>Background</w:t>
      </w:r>
      <w:r w:rsidR="00F96877">
        <w:rPr>
          <w:b/>
          <w:bCs/>
        </w:rPr>
        <w:t xml:space="preserve">: </w:t>
      </w:r>
      <w:r w:rsidR="00F96877" w:rsidRPr="00F96877">
        <w:t>Spinal infections exhibit a wide range of clinical signs. The clinical effects can encompass the vertebral bodies, intervertebral discs, spinal canal, and adjacent paravertebral structures. Surgical treatment becomes necessary when there's a presence of neurological deficits, epidural abscess, or the development of kyphotic deformity. The approach involving anterior debridement and fusion has demonstrated its efficacy in managing pyogenic spondylodiscitis. This method facilitates direct reach to the infected disc, allowing thorough debridement and proper placement of bone graft to ensure adequate stabilization. On the other hand, the posterior approach is more proficient in correcting kyphosi</w:t>
      </w:r>
      <w:r w:rsidR="00F96877">
        <w:t>s.</w:t>
      </w:r>
      <w:r w:rsidR="00F96877">
        <w:rPr>
          <w:b/>
          <w:bCs/>
        </w:rPr>
        <w:t xml:space="preserve"> </w:t>
      </w:r>
      <w:r w:rsidR="00996838" w:rsidRPr="00B53A62">
        <w:rPr>
          <w:b/>
          <w:bCs/>
          <w:lang w:val="en-US"/>
        </w:rPr>
        <w:t>Aim:</w:t>
      </w:r>
      <w:r w:rsidR="00996838" w:rsidRPr="00B53A62">
        <w:rPr>
          <w:lang w:val="en-US"/>
        </w:rPr>
        <w:t xml:space="preserve"> The aim of this thesis is to compare the clinical, </w:t>
      </w:r>
      <w:r w:rsidR="00E464C2" w:rsidRPr="00B53A62">
        <w:rPr>
          <w:lang w:val="en-US"/>
        </w:rPr>
        <w:t>radiological,</w:t>
      </w:r>
      <w:r w:rsidR="00996838" w:rsidRPr="00B53A62">
        <w:rPr>
          <w:lang w:val="en-US"/>
        </w:rPr>
        <w:t xml:space="preserve"> and functional outcome of anterior versus posterior approach for surgical treatment of spondylodiscitis. </w:t>
      </w:r>
      <w:r w:rsidR="00B53A62" w:rsidRPr="00BF2CB3">
        <w:rPr>
          <w:b/>
          <w:bCs/>
        </w:rPr>
        <w:t>Patients and methods:</w:t>
      </w:r>
      <w:r w:rsidR="00B53A62" w:rsidRPr="00B53A62">
        <w:t xml:space="preserve">  A prospective cohort study was conducted in Benha university hospital including thirty patients with dorsolumber spondylodiscitis were admitted and managed operatively</w:t>
      </w:r>
      <w:r w:rsidR="00BF2CB3">
        <w:t xml:space="preserve"> b</w:t>
      </w:r>
      <w:r w:rsidR="00BF2CB3" w:rsidRPr="00BF2CB3">
        <w:t>etween May 202</w:t>
      </w:r>
      <w:r w:rsidR="00BF2CB3">
        <w:t>0</w:t>
      </w:r>
      <w:r w:rsidR="00BF2CB3" w:rsidRPr="00BF2CB3">
        <w:t xml:space="preserve"> and June 2023</w:t>
      </w:r>
      <w:r w:rsidR="00BF2CB3">
        <w:t xml:space="preserve">. </w:t>
      </w:r>
      <w:r w:rsidR="00B53A62" w:rsidRPr="00B53A62">
        <w:t xml:space="preserve">Patients were divided into two groups. Group (A): 15 patients (50%) were operated via anterior approach and group (B): 15 patients (50%) were operated via posterior approach. The diagnosis was established on basis of clinical presentation as well as laboratory and radiological investigations </w:t>
      </w:r>
      <w:r w:rsidR="00B53A62" w:rsidRPr="00B53A62">
        <w:rPr>
          <w:lang w:val="en-US"/>
        </w:rPr>
        <w:t>with follow up period of 12 weeks.</w:t>
      </w:r>
      <w:r w:rsidR="00B53A62">
        <w:rPr>
          <w:lang w:val="en-US"/>
        </w:rPr>
        <w:t xml:space="preserve"> </w:t>
      </w:r>
      <w:r w:rsidR="00BF2CB3" w:rsidRPr="00BF2CB3">
        <w:rPr>
          <w:b/>
          <w:bCs/>
        </w:rPr>
        <w:t xml:space="preserve">Results: </w:t>
      </w:r>
      <w:r w:rsidR="00BF2CB3">
        <w:t xml:space="preserve">The </w:t>
      </w:r>
      <w:r w:rsidR="00BF2CB3" w:rsidRPr="00BF2CB3">
        <w:rPr>
          <w:lang w:val="en-US"/>
        </w:rPr>
        <w:t>mean age of patients of group A was 52 ±8 and group B was 52 ±7. The most frequent site in group A was lumbar (46.7%), followed by thoracolumbar (40%) and thoracic (</w:t>
      </w:r>
      <w:r w:rsidR="009C1566">
        <w:rPr>
          <w:lang w:val="en-US"/>
        </w:rPr>
        <w:t>1</w:t>
      </w:r>
      <w:r w:rsidR="00BF2CB3" w:rsidRPr="00BF2CB3">
        <w:rPr>
          <w:lang w:val="en-US"/>
        </w:rPr>
        <w:t>3.3%), while in group B, the most frequent was lumbar (40%), followed by thoracic (33.35) and thoracolumbar (26.7%).</w:t>
      </w:r>
      <w:r w:rsidR="00BF2CB3">
        <w:rPr>
          <w:lang w:val="en-US"/>
        </w:rPr>
        <w:t xml:space="preserve"> </w:t>
      </w:r>
      <w:r w:rsidR="00BF2CB3" w:rsidRPr="00BF2CB3">
        <w:rPr>
          <w:lang w:val="en-US"/>
        </w:rPr>
        <w:t>Functional outcome (regarding Oswestry disability index) was improved from 84% and 82% preoperatively to 28% and 30% postoperatively in Group A and Group B respectively</w:t>
      </w:r>
      <w:r w:rsidR="00045E92">
        <w:rPr>
          <w:lang w:val="en-US"/>
        </w:rPr>
        <w:t>.</w:t>
      </w:r>
      <w:r w:rsidR="00BF2CB3">
        <w:rPr>
          <w:lang w:val="en-US"/>
        </w:rPr>
        <w:t xml:space="preserve"> </w:t>
      </w:r>
      <w:r w:rsidR="00BF2CB3" w:rsidRPr="00BF2CB3">
        <w:rPr>
          <w:lang w:val="en-US"/>
        </w:rPr>
        <w:t>Regarding Local Kyphotic Angle, group B demonstrated significantly higher correction degrees than the anterior approach group A.</w:t>
      </w:r>
      <w:r w:rsidR="00BF2CB3">
        <w:rPr>
          <w:lang w:val="en-US"/>
        </w:rPr>
        <w:t xml:space="preserve"> </w:t>
      </w:r>
      <w:r w:rsidR="00045E92" w:rsidRPr="00045E92">
        <w:rPr>
          <w:lang w:val="en-US"/>
        </w:rPr>
        <w:t>Regarding hospital stay in our study, Group B demonstrated significantly higher hospital stay than group A. Also, Posterior group exhibited significantly higher operative time and blood loss.</w:t>
      </w:r>
      <w:r w:rsidR="00045E92">
        <w:rPr>
          <w:lang w:val="en-US"/>
        </w:rPr>
        <w:t xml:space="preserve"> </w:t>
      </w:r>
      <w:r w:rsidR="00045E92" w:rsidRPr="00045E92">
        <w:rPr>
          <w:b/>
          <w:bCs/>
        </w:rPr>
        <w:t>Conclusion:</w:t>
      </w:r>
      <w:r w:rsidR="00045E92">
        <w:t xml:space="preserve"> </w:t>
      </w:r>
      <w:r w:rsidR="00045E92">
        <w:rPr>
          <w:lang w:val="en-US"/>
        </w:rPr>
        <w:t xml:space="preserve"> </w:t>
      </w:r>
      <w:r w:rsidR="00F96877" w:rsidRPr="00F96877">
        <w:t xml:space="preserve">Both the anterior and posterior approaches are effective in accomplishing the objectives of surgical intervention for thoracic and lumbar Spondylodiscitis. However, the posterior approach provides notably superior correction of the kyphotic angle, albeit at the cost of increased operative time, prolonged hospital </w:t>
      </w:r>
      <w:proofErr w:type="gramStart"/>
      <w:r w:rsidR="00F96877" w:rsidRPr="00F96877">
        <w:t>stay</w:t>
      </w:r>
      <w:proofErr w:type="gramEnd"/>
      <w:r w:rsidR="00F96877" w:rsidRPr="00F96877">
        <w:t>, and greater blood loss</w:t>
      </w:r>
      <w:r w:rsidR="00F96877">
        <w:rPr>
          <w:rFonts w:ascii="Segoe UI" w:hAnsi="Segoe UI" w:cs="Segoe UI"/>
          <w:color w:val="374151"/>
          <w:shd w:val="clear" w:color="auto" w:fill="F7F7F8"/>
        </w:rPr>
        <w:t xml:space="preserve">. </w:t>
      </w:r>
      <w:r w:rsidR="00045E92" w:rsidRPr="00045E92">
        <w:rPr>
          <w:b/>
          <w:bCs/>
        </w:rPr>
        <w:t>Keywords:</w:t>
      </w:r>
      <w:r w:rsidR="00045E92">
        <w:t xml:space="preserve"> Spondylodiscitis, Spine infection, Anterior approach to spine, Posterior approach to spine.</w:t>
      </w:r>
    </w:p>
    <w:p w14:paraId="5B18E527" w14:textId="598669F5" w:rsidR="00045E92" w:rsidRPr="00045E92" w:rsidRDefault="00045E92" w:rsidP="00045E92">
      <w:pPr>
        <w:rPr>
          <w:b/>
          <w:bCs/>
        </w:rPr>
      </w:pPr>
      <w:r w:rsidRPr="00045E92">
        <w:rPr>
          <w:b/>
          <w:bCs/>
        </w:rPr>
        <w:t>Introduction:</w:t>
      </w:r>
    </w:p>
    <w:p w14:paraId="0DD0D59D" w14:textId="77777777" w:rsidR="00F96877" w:rsidRPr="00F96877" w:rsidRDefault="00F96877" w:rsidP="00F96877">
      <w:r w:rsidRPr="00F96877">
        <w:t>Spinal infection holds historical significance, with some accounts tracing back to the Iron Age (1). In 1779, Pott provided the initial comprehensive depiction of tuberculosis infection within the spine, while Lanneloung, a century later, introduced the term "pyogenic osteomyelitis of the spine" in medical literature (2).</w:t>
      </w:r>
    </w:p>
    <w:p w14:paraId="1F9F96B8" w14:textId="77777777" w:rsidR="00F96877" w:rsidRPr="00F96877" w:rsidRDefault="00F96877" w:rsidP="00F96877">
      <w:r w:rsidRPr="00F96877">
        <w:lastRenderedPageBreak/>
        <w:t>Spondylodiscitis encompasses a spectrum of disorders affecting bones, discs, and ligaments (3). It encompasses various clinical conditions, such as discitis, osteomyelitis, and epidural abscess. Pyogenic spondylodiscitis constitutes around 2-7% of all musculoskeletal infection cases (4,5). The majority (approximately 95%) of pyogenic spinal infections involve the vertebral bodies or intervertebral discs, with the remaining 5% affecting the spine's posterior elements. The lumbar spine is the most common site of infection (45-50%), followed by the thoracic (35%), cervical (3-20%), and sacral regions (6,7). Typically, pyogenic spondylodiscitis involves two adjacent vertebrae and the intervening disc due to the segmental artery's supply to the disc and lower part of the upper vertebra and upper part of the lower vertebra (8).</w:t>
      </w:r>
    </w:p>
    <w:p w14:paraId="4865CA8A" w14:textId="77777777" w:rsidR="00F96877" w:rsidRPr="00F96877" w:rsidRDefault="00F96877" w:rsidP="00F96877">
      <w:r w:rsidRPr="00F96877">
        <w:t>Contamination primarily occurs through hematogenous spread or from adjacent tissues. Spontaneous pyogenic spondylodiscitis is primarily associated with Staphylococcus aureus and streptococcus as the prevailing pathogens (9). Symptoms usually appear gradually, with back or neck pain (90% of cases), limb weakness, numbness, and sphincteric dysfunction. Additional indicators encompass fever, nausea, vomiting, weight loss, and confusion (10). The diagnostic process involves laboratory tests, radiological assessments including magnetic resonance imaging (MRI) and computed tomography (CT) scans, as well as thorough tissue sampling for microbiological analysis (11).</w:t>
      </w:r>
    </w:p>
    <w:p w14:paraId="0417E4BB" w14:textId="5198B986" w:rsidR="00F96877" w:rsidRPr="00F96877" w:rsidRDefault="00F96877" w:rsidP="00F96877">
      <w:r w:rsidRPr="00F96877">
        <w:t>In the early stages, non-operative treatment like intravenous antibiotic therapy and external immobilization can be considered for spontaneous pyogenic discitis, particularly when neurological signs, instability, deformity, or spinal cord compression are absent. This approach may also be combined with surgical methods. Surgical management, involving debridement and/or stabilization through instrumentation, is typically employed for symptomatic cases involving neural compression, instability, failure of medical treatment, or uncertain diagnosis (12,13)</w:t>
      </w:r>
      <w:r>
        <w:t>.</w:t>
      </w:r>
    </w:p>
    <w:p w14:paraId="7AACD613" w14:textId="77777777" w:rsidR="00045E92" w:rsidRPr="00045E92" w:rsidRDefault="00045E92" w:rsidP="00996838">
      <w:pPr>
        <w:rPr>
          <w:b/>
          <w:bCs/>
          <w:sz w:val="24"/>
          <w:szCs w:val="24"/>
        </w:rPr>
      </w:pPr>
      <w:r w:rsidRPr="00045E92">
        <w:rPr>
          <w:b/>
          <w:bCs/>
          <w:sz w:val="24"/>
          <w:szCs w:val="24"/>
        </w:rPr>
        <w:t>Patients and methods:</w:t>
      </w:r>
    </w:p>
    <w:p w14:paraId="01F2B5DE" w14:textId="19A8C57C" w:rsidR="00996838" w:rsidRDefault="00045E92" w:rsidP="00996838">
      <w:pPr>
        <w:rPr>
          <w:b/>
          <w:bCs/>
        </w:rPr>
      </w:pPr>
      <w:r w:rsidRPr="00045E92">
        <w:rPr>
          <w:b/>
          <w:bCs/>
        </w:rPr>
        <w:t>Pre-operative Evaluation:</w:t>
      </w:r>
    </w:p>
    <w:p w14:paraId="1D0CF36D" w14:textId="770F97EA" w:rsidR="003925CF" w:rsidRPr="003925CF" w:rsidRDefault="003925CF" w:rsidP="003925CF">
      <w:pPr>
        <w:rPr>
          <w:lang w:val="en-US"/>
        </w:rPr>
      </w:pPr>
      <w:bookmarkStart w:id="0" w:name="_Hlk142633135"/>
      <w:r w:rsidRPr="003925CF">
        <w:t>thirty patients with dorsolumber spondylodiscitis were admitted and managed operatively</w:t>
      </w:r>
      <w:r>
        <w:t xml:space="preserve"> b</w:t>
      </w:r>
      <w:r w:rsidRPr="00BF2CB3">
        <w:t>etween May 202</w:t>
      </w:r>
      <w:r>
        <w:t>0</w:t>
      </w:r>
      <w:r w:rsidRPr="00BF2CB3">
        <w:t xml:space="preserve"> and June 2023</w:t>
      </w:r>
      <w:r w:rsidRPr="003925CF">
        <w:t xml:space="preserve">. Patients were divided into two groups. Group (A): 15 patients (50%) were operated via anterior approach and group (B): 15 patients (50%) were operated via posterior approach. The diagnosis was established on basis of clinical presentation as well as laboratory and radiological investigations </w:t>
      </w:r>
      <w:r w:rsidRPr="003925CF">
        <w:rPr>
          <w:lang w:val="en-US"/>
        </w:rPr>
        <w:t>with follow up period of 12 weeks.</w:t>
      </w:r>
      <w:bookmarkEnd w:id="0"/>
    </w:p>
    <w:p w14:paraId="17D87EA1" w14:textId="77777777" w:rsidR="003925CF" w:rsidRPr="003925CF" w:rsidRDefault="003925CF" w:rsidP="003925CF">
      <w:pPr>
        <w:rPr>
          <w:lang w:val="en-US"/>
        </w:rPr>
      </w:pPr>
      <w:r w:rsidRPr="003925CF">
        <w:rPr>
          <w:b/>
          <w:bCs/>
          <w:lang w:val="en-US"/>
        </w:rPr>
        <w:t>Inclusion criteria:</w:t>
      </w:r>
      <w:r w:rsidRPr="003925CF">
        <w:rPr>
          <w:lang w:val="en-US"/>
        </w:rPr>
        <w:t xml:space="preserve">  A- A root, spinal cord, or cauda equina compression is seen on MRI (epidural abscess). B- Spinal instability due to bone destruction or severe deformity such as kyphosis more than 15 degrees. C- An anterior abscess larger than 2.5 cm in dorsal or lumber spine. D- Postoperative Spondylodiscitis. E- Unsuccessful medical treatment of cases initially treated conservatively. F- Severe pain as an indication for surgery. G- Pyogenic, Tubercular or Brucellar spondylodiscitis were included. H- Cooperative patients and medically fit for operations. I- Informed consent to patient treatment and inclusion in our study.</w:t>
      </w:r>
    </w:p>
    <w:p w14:paraId="677EB2B0" w14:textId="77777777" w:rsidR="003925CF" w:rsidRPr="003925CF" w:rsidRDefault="003925CF" w:rsidP="003925CF">
      <w:pPr>
        <w:rPr>
          <w:lang w:val="en-US"/>
        </w:rPr>
      </w:pPr>
      <w:r w:rsidRPr="003925CF">
        <w:rPr>
          <w:b/>
          <w:bCs/>
          <w:lang w:val="en-US"/>
        </w:rPr>
        <w:t>Exclusion criteria:</w:t>
      </w:r>
      <w:r w:rsidRPr="003925CF">
        <w:rPr>
          <w:lang w:val="en-US"/>
        </w:rPr>
        <w:t xml:space="preserve"> A- Spondylodiscitis not indicated in the inclusion criteria. B- Concomitant infections, hepatic and/or renal failure and malignant tumors. C- Cervical spondylodiscitis. D- Patients who are unfit for surgery.</w:t>
      </w:r>
    </w:p>
    <w:p w14:paraId="2011E8F6" w14:textId="7F3ECB42" w:rsidR="003925CF" w:rsidRPr="003925CF" w:rsidRDefault="003925CF" w:rsidP="003925CF">
      <w:r w:rsidRPr="003925CF">
        <w:lastRenderedPageBreak/>
        <w:t xml:space="preserve">All patients underwent proper </w:t>
      </w:r>
      <w:r w:rsidRPr="003925CF">
        <w:rPr>
          <w:b/>
          <w:bCs/>
        </w:rPr>
        <w:t>history</w:t>
      </w:r>
      <w:r w:rsidRPr="003925CF">
        <w:t xml:space="preserve"> taking including age, sex, time of presentation, coexisting medical condition e.g., diabetes mellitus, chronic immune suppression, </w:t>
      </w:r>
      <w:r w:rsidRPr="003925CF">
        <w:rPr>
          <w:lang w:val="en-US"/>
        </w:rPr>
        <w:t xml:space="preserve">systemic symptoms (weight loss), examination for fever, localized axial pain, mechanical pain, radicular pain, night pain, </w:t>
      </w:r>
      <w:r w:rsidRPr="003925CF">
        <w:t xml:space="preserve">and complete </w:t>
      </w:r>
      <w:r w:rsidRPr="003925CF">
        <w:rPr>
          <w:b/>
          <w:bCs/>
        </w:rPr>
        <w:t>neurological assessment</w:t>
      </w:r>
      <w:r w:rsidRPr="003925CF">
        <w:t xml:space="preserve"> (motor assessment, sensory examination, reflexes evaluation and autonomic dysfunction examination). </w:t>
      </w:r>
      <w:r w:rsidRPr="003925CF">
        <w:rPr>
          <w:b/>
          <w:bCs/>
        </w:rPr>
        <w:t>Laboratory investigations</w:t>
      </w:r>
      <w:r w:rsidRPr="003925CF">
        <w:t xml:space="preserve">: such as complete blood picture (CBC), erythrocyte sedimentation rate (ESR), C-reactive protein (CRP), blood culture, </w:t>
      </w:r>
      <w:r w:rsidRPr="003925CF">
        <w:rPr>
          <w:lang w:val="en-US"/>
        </w:rPr>
        <w:t xml:space="preserve">Widal and Brucella tests </w:t>
      </w:r>
      <w:r w:rsidRPr="003925CF">
        <w:t xml:space="preserve">were done at the time of presentation, </w:t>
      </w:r>
      <w:r w:rsidR="00E464C2" w:rsidRPr="003925CF">
        <w:t>recorded,</w:t>
      </w:r>
      <w:r w:rsidRPr="003925CF">
        <w:t xml:space="preserve"> and followed up. Proper </w:t>
      </w:r>
      <w:r w:rsidRPr="003925CF">
        <w:rPr>
          <w:b/>
          <w:bCs/>
        </w:rPr>
        <w:t>radiological assessment</w:t>
      </w:r>
      <w:r w:rsidRPr="003925CF">
        <w:t xml:space="preserve"> was done for all patients including x-ray spine, C.T. spine (thin cuts) with 3D and sagittal views to evaluate the integrity of bone and M.R.I. of the spine to evaluate the condition of the spinal cord, and degree of spinal cord compression.</w:t>
      </w:r>
    </w:p>
    <w:p w14:paraId="44549F3A" w14:textId="0EB56D0F" w:rsidR="003925CF" w:rsidRPr="003925CF" w:rsidRDefault="003925CF" w:rsidP="00996838">
      <w:pPr>
        <w:rPr>
          <w:b/>
          <w:bCs/>
        </w:rPr>
      </w:pPr>
      <w:r w:rsidRPr="003925CF">
        <w:rPr>
          <w:b/>
          <w:bCs/>
        </w:rPr>
        <w:t>Operative Intervention:</w:t>
      </w:r>
    </w:p>
    <w:p w14:paraId="1EC1EA88" w14:textId="77777777" w:rsidR="00F96877" w:rsidRPr="00F96877" w:rsidRDefault="00F96877" w:rsidP="00F96877">
      <w:r w:rsidRPr="00F96877">
        <w:t>Surgical intervention is employed for patients experiencing spondylodiscitis with neural compression, instability, failed medical treatment, or unproven diagnosis. The surgical approach consists of two distinct methods: (a) debridement of infected disc material, pus drainage, and removal of infected bone until healthy, bleeding bone is achieved; (b) posterior stabilization using instrumentation in cases of instability and/or deformity. This study involved two patient groups: Group A (15 patients) underwent an anterior approach, while Group B (15 patients) underwent a posterior approach.</w:t>
      </w:r>
    </w:p>
    <w:p w14:paraId="104F1B91" w14:textId="77777777" w:rsidR="00F96877" w:rsidRPr="00F96877" w:rsidRDefault="00F96877" w:rsidP="00F96877">
      <w:r w:rsidRPr="00F96877">
        <w:rPr>
          <w:b/>
          <w:bCs/>
        </w:rPr>
        <w:t>Anterior Approach (Group A):</w:t>
      </w:r>
      <w:r w:rsidRPr="00F96877">
        <w:t xml:space="preserve"> Patients received a single-stage anterolateral approach, with variations such as transthoracic, thoracoabdominal, and retroperitoneal techniques. Under general anesthesia and endotracheal intubation, patients were positioned on their right side. The affected level was aligned on the hinged part of the operating table. Infected material was removed until normal, bleeding bone was exposed. In cases of kyphosis correction, a tricortical iliac autograft was placed in the resulting space between vertebral bodies. Eleven patients with kyphosis and/or instability additionally underwent minimally invasive percutaneous pedicular screw fixation.</w:t>
      </w:r>
    </w:p>
    <w:p w14:paraId="45E155B1" w14:textId="77777777" w:rsidR="00F96877" w:rsidRPr="00F96877" w:rsidRDefault="00F96877" w:rsidP="00F96877">
      <w:r w:rsidRPr="00F96877">
        <w:rPr>
          <w:b/>
          <w:bCs/>
        </w:rPr>
        <w:t>Posterior Approach (Group B):</w:t>
      </w:r>
      <w:r w:rsidRPr="00F96877">
        <w:t xml:space="preserve"> Patients underwent a single-stage posterolateral approach, being placed prone on a spine fracture table. Pedicle screws were placed two levels above and below the affected area. Temporary fixation and distraction using a unilateral rod maintained spinal stability during decompression and bone resection. Hemilaminectomy and facetectomy were performed first on the more compromised side of the canal. Careful retraction of the cord, cauda, and nerve roots created space for the surgical procedure. Necrotic material and discs were removed, and paraspinal abscesses were drained. The end plates of the superior and inferior vertebrae were prepared for fusion through curettage. A tricortical autograft from the posterior superior iliac spine was inserted into the defect, bridging the above and below vertebrae. Dual rods were placed and tightened for compression.</w:t>
      </w:r>
    </w:p>
    <w:p w14:paraId="70A1387C" w14:textId="77777777" w:rsidR="00F96877" w:rsidRPr="00F96877" w:rsidRDefault="00F96877" w:rsidP="00F96877">
      <w:r w:rsidRPr="00F96877">
        <w:t>Surgery duration and blood loss were recorded for assessment.</w:t>
      </w:r>
    </w:p>
    <w:p w14:paraId="7400D2A6" w14:textId="77777777" w:rsidR="00F96877" w:rsidRPr="00F96877" w:rsidRDefault="00F96877" w:rsidP="00F96877">
      <w:r w:rsidRPr="00F96877">
        <w:t>After debridement and tissue sampling, empirical intravenous antibiotics were initiated, covering common pathogens such as Staphylococcus aureus and streptococcus. Targeted antibiotics continued for approximately six weeks, with variations in administration depending on clinical improvement, laboratory values, and pathogen identification.</w:t>
      </w:r>
    </w:p>
    <w:p w14:paraId="5E9E0FD5" w14:textId="1401B9E9" w:rsidR="00F96877" w:rsidRPr="00F96877" w:rsidRDefault="00F96877" w:rsidP="00F96877">
      <w:r w:rsidRPr="00F96877">
        <w:rPr>
          <w:b/>
          <w:bCs/>
        </w:rPr>
        <w:lastRenderedPageBreak/>
        <w:t>Post-Operative Care:</w:t>
      </w:r>
      <w:r w:rsidRPr="00F96877">
        <w:t xml:space="preserve"> Specific isolated agents guided the antibiotic treatment, lasting an average of six weeks. For Staphylococcus aureus, oxacillin was administered intravenously for two weeks, followed by oral ciprofloxacin for four weeks upon discharge. For MRSA Staphylococcus, meropenem or alternative schemes were considered. Upon discharge, oral ciprofloxacin was continued for eight weeks.</w:t>
      </w:r>
    </w:p>
    <w:p w14:paraId="70D23D03" w14:textId="77777777" w:rsidR="00F96877" w:rsidRPr="00F96877" w:rsidRDefault="00F96877" w:rsidP="00F96877">
      <w:r w:rsidRPr="00F96877">
        <w:rPr>
          <w:b/>
          <w:bCs/>
        </w:rPr>
        <w:t>Post-Operative Evaluation:</w:t>
      </w:r>
    </w:p>
    <w:p w14:paraId="4C7B85BD" w14:textId="328FE8D2" w:rsidR="00F96877" w:rsidRPr="00F96877" w:rsidRDefault="00F96877" w:rsidP="00F96877">
      <w:r w:rsidRPr="00F96877">
        <w:rPr>
          <w:b/>
          <w:bCs/>
        </w:rPr>
        <w:t>Clinical Evaluation:</w:t>
      </w:r>
      <w:r w:rsidRPr="00F96877">
        <w:t xml:space="preserve"> Patients were assessed on day 1 after surgery, at discharge, and in 3-week intervals. Clinical parameters, including back pain measured using the visual analog scale (VAS)</w:t>
      </w:r>
      <w:r>
        <w:t xml:space="preserve"> (14)</w:t>
      </w:r>
      <w:r w:rsidRPr="00F96877">
        <w:t xml:space="preserve"> and neurological impairment using the Frankel scale</w:t>
      </w:r>
      <w:r>
        <w:t xml:space="preserve"> (15)</w:t>
      </w:r>
      <w:r w:rsidRPr="00F96877">
        <w:t>, were evaluated.</w:t>
      </w:r>
    </w:p>
    <w:p w14:paraId="39C681FF" w14:textId="330923AD" w:rsidR="00F96877" w:rsidRPr="00F96877" w:rsidRDefault="00F96877" w:rsidP="00F96877">
      <w:r w:rsidRPr="00F96877">
        <w:rPr>
          <w:b/>
          <w:bCs/>
        </w:rPr>
        <w:t>Radiological Evaluation:</w:t>
      </w:r>
      <w:r w:rsidRPr="00F96877">
        <w:t xml:space="preserve"> Postoperative X-rays and CT scans were conducted on the second day after surgery to confirm screw placement and detect instability. Follow-up assessments occurred at 3 months to document fusion or deformity. Fusion and local kyphotic angle (LKA) were evaluated using Brantigan criteria</w:t>
      </w:r>
      <w:r>
        <w:t xml:space="preserve"> (16)</w:t>
      </w:r>
      <w:r w:rsidRPr="00F96877">
        <w:t xml:space="preserve"> and Cobb technique</w:t>
      </w:r>
      <w:r>
        <w:t xml:space="preserve"> (17)</w:t>
      </w:r>
      <w:r w:rsidRPr="00F96877">
        <w:t>, respectively. Functional outcomes were assessed using the Oswestry disability index (ODI)</w:t>
      </w:r>
      <w:r>
        <w:t xml:space="preserve"> (18).</w:t>
      </w:r>
    </w:p>
    <w:p w14:paraId="3413C894" w14:textId="5041894F" w:rsidR="00F15B76" w:rsidRPr="000C069B" w:rsidRDefault="000C069B" w:rsidP="00F15B76">
      <w:pPr>
        <w:rPr>
          <w:b/>
          <w:bCs/>
        </w:rPr>
      </w:pPr>
      <w:r w:rsidRPr="000C069B">
        <w:rPr>
          <w:b/>
          <w:bCs/>
        </w:rPr>
        <w:t>Statistical methods:</w:t>
      </w:r>
    </w:p>
    <w:p w14:paraId="165D7B53" w14:textId="7E267242" w:rsidR="000C069B" w:rsidRPr="000C069B" w:rsidRDefault="000C069B" w:rsidP="000C069B">
      <w:pPr>
        <w:rPr>
          <w:lang w:val="en-US"/>
        </w:rPr>
      </w:pPr>
      <w:r w:rsidRPr="000C069B">
        <w:rPr>
          <w:lang w:val="en-US"/>
        </w:rPr>
        <w:t>Data management and statistical analysis were done using SPSS version 28 (IBM, Armonk, New York, United States). Quantitative data were assessed for normality using the Shapiro-Wilk test and direct data visualization methods. According to normality, quantitative data were summarized as means and standard deviations or medians and ranges. Categorical data were summarized as numbers and percentages. Quantitative data were compared between the studied groups using the independent t-test or Mann-Whitney U test for normally and non-normally distributed quantitative variables, respectively. Categorical data were compared using the Chi-square or Fisher’s exact test. All statistical tests were two-sided. P values less than 0.05 were considered significant. (</w:t>
      </w:r>
      <w:r>
        <w:rPr>
          <w:lang w:val="en-US"/>
        </w:rPr>
        <w:t>19</w:t>
      </w:r>
      <w:r w:rsidRPr="000C069B">
        <w:rPr>
          <w:lang w:val="en-US"/>
        </w:rPr>
        <w:t>)</w:t>
      </w:r>
    </w:p>
    <w:p w14:paraId="3996A385" w14:textId="712D860A" w:rsidR="000C069B" w:rsidRPr="009C1566" w:rsidRDefault="009C1566" w:rsidP="00F15B76">
      <w:pPr>
        <w:rPr>
          <w:b/>
          <w:bCs/>
        </w:rPr>
      </w:pPr>
      <w:r w:rsidRPr="009C1566">
        <w:rPr>
          <w:b/>
          <w:bCs/>
        </w:rPr>
        <w:t>Results:</w:t>
      </w:r>
    </w:p>
    <w:p w14:paraId="06BE1619" w14:textId="07D2E924" w:rsidR="009C1566" w:rsidRPr="009C1566" w:rsidRDefault="009C1566" w:rsidP="00F15B76">
      <w:pPr>
        <w:rPr>
          <w:b/>
          <w:bCs/>
        </w:rPr>
      </w:pPr>
      <w:r w:rsidRPr="009C1566">
        <w:rPr>
          <w:b/>
          <w:bCs/>
        </w:rPr>
        <w:t>Patient Characteristics</w:t>
      </w:r>
    </w:p>
    <w:p w14:paraId="6B8945C1" w14:textId="4991FA9F" w:rsidR="009B21B2" w:rsidRDefault="009C1566" w:rsidP="009B21B2">
      <w:pPr>
        <w:rPr>
          <w:lang w:val="en-US"/>
        </w:rPr>
      </w:pPr>
      <w:r>
        <w:t xml:space="preserve">The </w:t>
      </w:r>
      <w:r w:rsidRPr="00BF2CB3">
        <w:rPr>
          <w:lang w:val="en-US"/>
        </w:rPr>
        <w:t>mean age of patients of group A was 52 ±8 and group B was 52 ±7.</w:t>
      </w:r>
      <w:r>
        <w:rPr>
          <w:lang w:val="en-US"/>
        </w:rPr>
        <w:t xml:space="preserve"> Males were 9 (60%) in group A and 10 (66.7%) in group B.</w:t>
      </w:r>
      <w:r w:rsidRPr="00BF2CB3">
        <w:rPr>
          <w:lang w:val="en-US"/>
        </w:rPr>
        <w:t xml:space="preserve"> The most frequent site in group A was lumbar (46.7%), followed by thoracolumbar (40%) and thoracic (</w:t>
      </w:r>
      <w:r>
        <w:rPr>
          <w:lang w:val="en-US"/>
        </w:rPr>
        <w:t>1</w:t>
      </w:r>
      <w:r w:rsidRPr="00BF2CB3">
        <w:rPr>
          <w:lang w:val="en-US"/>
        </w:rPr>
        <w:t>3.3%), while in group B, the most frequent was lumbar (40%), followed by thoracic (33.35) and thoracolumbar (26.7%).</w:t>
      </w:r>
      <w:r>
        <w:rPr>
          <w:lang w:val="en-US"/>
        </w:rPr>
        <w:t xml:space="preserve"> </w:t>
      </w:r>
      <w:r w:rsidR="009B21B2">
        <w:rPr>
          <w:lang w:val="en-US"/>
        </w:rPr>
        <w:t>C</w:t>
      </w:r>
      <w:r w:rsidR="009B21B2" w:rsidRPr="009B21B2">
        <w:rPr>
          <w:lang w:val="en-US"/>
        </w:rPr>
        <w:t>hronic disease was the most frequent risk factor in groups A and B (80% in each). No significant difference was observed between the studied groups regarding risk factors (P = 1.0).</w:t>
      </w:r>
      <w:r w:rsidR="009B21B2">
        <w:rPr>
          <w:lang w:val="en-US"/>
        </w:rPr>
        <w:t xml:space="preserve"> T</w:t>
      </w:r>
      <w:r w:rsidR="009B21B2" w:rsidRPr="009B21B2">
        <w:rPr>
          <w:lang w:val="en-US"/>
        </w:rPr>
        <w:t>he most frequent predominant pathogen in groups A and B was Staph aureus (40% and 33.3%, respectively), followed by staph epidermidus (13.3 for each), pseudomonas aeruginosa (6.7% for each), mycobacterium tuberculosis (6.7% and 20%, respectively), and brucella (6.7% for each). No significant difference was observed between the studied groups (p = 0.970).</w:t>
      </w:r>
    </w:p>
    <w:p w14:paraId="790EEBAC" w14:textId="285D6A2E" w:rsidR="009B21B2" w:rsidRPr="009B21B2" w:rsidRDefault="009B21B2" w:rsidP="009B21B2">
      <w:pPr>
        <w:rPr>
          <w:b/>
          <w:bCs/>
          <w:lang w:val="en-US"/>
        </w:rPr>
      </w:pPr>
      <w:r w:rsidRPr="009B21B2">
        <w:rPr>
          <w:b/>
          <w:bCs/>
          <w:lang w:val="en-US"/>
        </w:rPr>
        <w:t xml:space="preserve">Clinical </w:t>
      </w:r>
      <w:r>
        <w:rPr>
          <w:b/>
          <w:bCs/>
          <w:lang w:val="en-US"/>
        </w:rPr>
        <w:t>R</w:t>
      </w:r>
      <w:r w:rsidRPr="009B21B2">
        <w:rPr>
          <w:b/>
          <w:bCs/>
          <w:lang w:val="en-US"/>
        </w:rPr>
        <w:t>esults</w:t>
      </w:r>
    </w:p>
    <w:p w14:paraId="7F58B802" w14:textId="6DB8C4EE" w:rsidR="009B21B2" w:rsidRDefault="009B21B2" w:rsidP="009B21B2">
      <w:pPr>
        <w:rPr>
          <w:lang w:val="en-US"/>
        </w:rPr>
      </w:pPr>
      <w:r w:rsidRPr="009B21B2">
        <w:rPr>
          <w:lang w:val="en-US"/>
        </w:rPr>
        <w:t xml:space="preserve">the median VAS score improved from 8 in groups A and B preoperatively to 3 postoperatively in both groups. No significant differences were observed between the studied groups regarding </w:t>
      </w:r>
      <w:r w:rsidRPr="009B21B2">
        <w:rPr>
          <w:lang w:val="en-US"/>
        </w:rPr>
        <w:lastRenderedPageBreak/>
        <w:t>the pre and postoperative VAS scores (P = 0.806 and 0.325, respectively).</w:t>
      </w:r>
      <w:r>
        <w:rPr>
          <w:lang w:val="en-US"/>
        </w:rPr>
        <w:t xml:space="preserve"> R</w:t>
      </w:r>
      <w:r w:rsidRPr="009B21B2">
        <w:rPr>
          <w:lang w:val="en-US"/>
        </w:rPr>
        <w:t>egarding Frankel score (202) for neurological impairment, good outcomes (score D &amp; E) were the most frequently reported (33.3%), while in group B, score D was the most frequent (46.7%) with no significant difference observed (P = 0.708).</w:t>
      </w:r>
      <w:r>
        <w:rPr>
          <w:lang w:val="en-US"/>
        </w:rPr>
        <w:t xml:space="preserve"> </w:t>
      </w:r>
    </w:p>
    <w:p w14:paraId="0CE98A68" w14:textId="03173668" w:rsidR="009B21B2" w:rsidRPr="009B21B2" w:rsidRDefault="009B21B2" w:rsidP="009B21B2">
      <w:pPr>
        <w:rPr>
          <w:b/>
          <w:bCs/>
        </w:rPr>
      </w:pPr>
      <w:r w:rsidRPr="009B21B2">
        <w:rPr>
          <w:b/>
          <w:bCs/>
        </w:rPr>
        <w:t>Functional Results</w:t>
      </w:r>
    </w:p>
    <w:p w14:paraId="7FA133CA" w14:textId="6B2377AF" w:rsidR="009B21B2" w:rsidRDefault="009B21B2" w:rsidP="009B21B2">
      <w:pPr>
        <w:rPr>
          <w:lang w:val="en-US"/>
        </w:rPr>
      </w:pPr>
      <w:r w:rsidRPr="009B21B2">
        <w:rPr>
          <w:lang w:val="en-US"/>
        </w:rPr>
        <w:t>regarding Oswestry disability index (ODI) (</w:t>
      </w:r>
      <w:r>
        <w:rPr>
          <w:lang w:val="en-US"/>
        </w:rPr>
        <w:t>18</w:t>
      </w:r>
      <w:r w:rsidRPr="009B21B2">
        <w:rPr>
          <w:lang w:val="en-US"/>
        </w:rPr>
        <w:t xml:space="preserve">), functional outcome was improved from 84% and 82% preoperatively to 28% and 30% postoperatively in Group A and Group B respectively, with no significant difference between both groups. </w:t>
      </w:r>
    </w:p>
    <w:p w14:paraId="1B2C8805" w14:textId="58C30CD0" w:rsidR="009B21B2" w:rsidRPr="009B21B2" w:rsidRDefault="009B21B2" w:rsidP="009B21B2">
      <w:pPr>
        <w:rPr>
          <w:b/>
          <w:bCs/>
        </w:rPr>
      </w:pPr>
      <w:r w:rsidRPr="009B21B2">
        <w:rPr>
          <w:b/>
          <w:bCs/>
        </w:rPr>
        <w:t>Radiological Results</w:t>
      </w:r>
    </w:p>
    <w:p w14:paraId="29510D26" w14:textId="13C40BEC" w:rsidR="009B21B2" w:rsidRDefault="009B21B2" w:rsidP="009B21B2">
      <w:pPr>
        <w:rPr>
          <w:lang w:val="en-US"/>
        </w:rPr>
      </w:pPr>
      <w:r w:rsidRPr="009B21B2">
        <w:rPr>
          <w:lang w:val="en-US"/>
        </w:rPr>
        <w:t>Local Kyphotic Angle</w:t>
      </w:r>
      <w:r>
        <w:rPr>
          <w:lang w:val="en-US"/>
        </w:rPr>
        <w:t xml:space="preserve"> in </w:t>
      </w:r>
      <w:r w:rsidRPr="009B21B2">
        <w:rPr>
          <w:lang w:val="en-US"/>
        </w:rPr>
        <w:t>group B (Posterior approach) demonstrated significantly higher correction degrees than the anterior approach group A (P-value = 0.024).</w:t>
      </w:r>
      <w:r>
        <w:rPr>
          <w:lang w:val="en-US"/>
        </w:rPr>
        <w:t xml:space="preserve"> </w:t>
      </w:r>
      <w:r w:rsidRPr="009B21B2">
        <w:rPr>
          <w:lang w:val="en-US"/>
        </w:rPr>
        <w:t>According to Brantigan criteria, most patients in group A (80%) demonstrated fused criteria compared to 66.7% in group B. Probably fused criteria was reported in 20% of group A compared to 26.7% in group B, with no significant difference (P = 0.682).</w:t>
      </w:r>
    </w:p>
    <w:p w14:paraId="236DEF4A" w14:textId="1D369B61" w:rsidR="009B21B2" w:rsidRDefault="009B21B2" w:rsidP="009B21B2">
      <w:pPr>
        <w:rPr>
          <w:lang w:val="en-US"/>
        </w:rPr>
      </w:pPr>
      <w:r w:rsidRPr="009B21B2">
        <w:rPr>
          <w:lang w:val="en-US"/>
        </w:rPr>
        <w:t xml:space="preserve">Posterior group exhibited significantly higher </w:t>
      </w:r>
      <w:r w:rsidRPr="009B21B2">
        <w:rPr>
          <w:b/>
          <w:bCs/>
          <w:lang w:val="en-US"/>
        </w:rPr>
        <w:t>operative time</w:t>
      </w:r>
      <w:r w:rsidRPr="009B21B2">
        <w:rPr>
          <w:lang w:val="en-US"/>
        </w:rPr>
        <w:t xml:space="preserve"> (194 ±25 vs. 169 ±22, P = 0.008) and </w:t>
      </w:r>
      <w:r w:rsidRPr="009B21B2">
        <w:rPr>
          <w:b/>
          <w:bCs/>
          <w:lang w:val="en-US"/>
        </w:rPr>
        <w:t>blood loss</w:t>
      </w:r>
      <w:r w:rsidRPr="009B21B2">
        <w:rPr>
          <w:lang w:val="en-US"/>
        </w:rPr>
        <w:t xml:space="preserve"> (882 ±132 vs. 661 ±108, P &lt; 0.001) than Anterior group.</w:t>
      </w:r>
    </w:p>
    <w:p w14:paraId="246A2082" w14:textId="780E678C" w:rsidR="009B21B2" w:rsidRPr="009B21B2" w:rsidRDefault="009B21B2" w:rsidP="009B21B2">
      <w:pPr>
        <w:rPr>
          <w:b/>
          <w:bCs/>
        </w:rPr>
      </w:pPr>
      <w:r w:rsidRPr="009B21B2">
        <w:rPr>
          <w:b/>
          <w:bCs/>
        </w:rPr>
        <w:t>Results of Complications</w:t>
      </w:r>
    </w:p>
    <w:p w14:paraId="5661AE91" w14:textId="77777777" w:rsidR="00F130EF" w:rsidRDefault="00F130EF" w:rsidP="00F130EF">
      <w:pPr>
        <w:rPr>
          <w:lang w:val="en-US"/>
        </w:rPr>
      </w:pPr>
      <w:r w:rsidRPr="00F130EF">
        <w:rPr>
          <w:lang w:val="en-US"/>
        </w:rPr>
        <w:t xml:space="preserve">In our study only one patient in group A had complicated wound healing compared to three patients in group B, with no significant difference (P = 0.598). And one patient in group A had infection recurrence compared to two patients in group B, with no significant difference (P = 1.0). </w:t>
      </w:r>
    </w:p>
    <w:p w14:paraId="5D6621E2" w14:textId="41CBD48E" w:rsidR="00F130EF" w:rsidRPr="00F130EF" w:rsidRDefault="00F130EF" w:rsidP="00F130EF">
      <w:pPr>
        <w:rPr>
          <w:lang w:val="en-US"/>
        </w:rPr>
      </w:pPr>
      <w:r w:rsidRPr="00F130EF">
        <w:rPr>
          <w:lang w:val="en-US"/>
        </w:rPr>
        <w:t>Table (</w:t>
      </w:r>
      <w:r>
        <w:rPr>
          <w:lang w:val="en-US"/>
        </w:rPr>
        <w:t>1</w:t>
      </w:r>
      <w:r w:rsidRPr="00F130EF">
        <w:rPr>
          <w:lang w:val="en-US"/>
        </w:rPr>
        <w:t>) Demographics of the studied groups</w:t>
      </w:r>
    </w:p>
    <w:tbl>
      <w:tblPr>
        <w:tblW w:w="7210" w:type="dxa"/>
        <w:tblBorders>
          <w:top w:val="single" w:sz="12" w:space="0" w:color="auto"/>
          <w:bottom w:val="single" w:sz="12" w:space="0" w:color="auto"/>
        </w:tblBorders>
        <w:tblLook w:val="04A0" w:firstRow="1" w:lastRow="0" w:firstColumn="1" w:lastColumn="0" w:noHBand="0" w:noVBand="1"/>
      </w:tblPr>
      <w:tblGrid>
        <w:gridCol w:w="1620"/>
        <w:gridCol w:w="1350"/>
        <w:gridCol w:w="1500"/>
        <w:gridCol w:w="1400"/>
        <w:gridCol w:w="1340"/>
      </w:tblGrid>
      <w:tr w:rsidR="00F130EF" w:rsidRPr="00F130EF" w14:paraId="6E1951C3" w14:textId="77777777" w:rsidTr="00A27E1C">
        <w:trPr>
          <w:trHeight w:val="290"/>
        </w:trPr>
        <w:tc>
          <w:tcPr>
            <w:tcW w:w="1620" w:type="dxa"/>
            <w:tcBorders>
              <w:top w:val="single" w:sz="12" w:space="0" w:color="auto"/>
              <w:bottom w:val="single" w:sz="12" w:space="0" w:color="auto"/>
            </w:tcBorders>
            <w:shd w:val="clear" w:color="auto" w:fill="F2F2F2" w:themeFill="background1" w:themeFillShade="F2"/>
            <w:noWrap/>
            <w:vAlign w:val="bottom"/>
            <w:hideMark/>
          </w:tcPr>
          <w:p w14:paraId="11229D0F" w14:textId="77777777" w:rsidR="00F130EF" w:rsidRPr="00F130EF" w:rsidRDefault="00F130EF" w:rsidP="00F130EF">
            <w:pPr>
              <w:rPr>
                <w:lang w:val="en-US"/>
              </w:rPr>
            </w:pPr>
          </w:p>
        </w:tc>
        <w:tc>
          <w:tcPr>
            <w:tcW w:w="1350" w:type="dxa"/>
            <w:tcBorders>
              <w:top w:val="single" w:sz="12" w:space="0" w:color="auto"/>
              <w:bottom w:val="single" w:sz="12" w:space="0" w:color="auto"/>
            </w:tcBorders>
            <w:shd w:val="clear" w:color="auto" w:fill="F2F2F2" w:themeFill="background1" w:themeFillShade="F2"/>
            <w:noWrap/>
            <w:vAlign w:val="bottom"/>
            <w:hideMark/>
          </w:tcPr>
          <w:p w14:paraId="77F0150F"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5064E961" w14:textId="77777777" w:rsidR="00F130EF" w:rsidRPr="00F130EF" w:rsidRDefault="00F130EF" w:rsidP="00F130EF">
            <w:pPr>
              <w:rPr>
                <w:lang w:val="en-US"/>
              </w:rPr>
            </w:pPr>
            <w:r w:rsidRPr="00F130EF">
              <w:rPr>
                <w:lang w:val="en-US"/>
              </w:rPr>
              <w:t>Group A</w:t>
            </w:r>
          </w:p>
          <w:p w14:paraId="4A5A194F"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7D89DB30" w14:textId="77777777" w:rsidR="00F130EF" w:rsidRPr="00F130EF" w:rsidRDefault="00F130EF" w:rsidP="00F130EF">
            <w:pPr>
              <w:rPr>
                <w:lang w:val="en-US"/>
              </w:rPr>
            </w:pPr>
            <w:r w:rsidRPr="00F130EF">
              <w:rPr>
                <w:lang w:val="en-US"/>
              </w:rPr>
              <w:t>Group B</w:t>
            </w:r>
          </w:p>
          <w:p w14:paraId="2CAACB6E" w14:textId="77777777" w:rsidR="00F130EF" w:rsidRPr="00F130EF" w:rsidRDefault="00F130EF" w:rsidP="00F130EF">
            <w:pPr>
              <w:rPr>
                <w:lang w:val="en-US"/>
              </w:rPr>
            </w:pPr>
            <w:r w:rsidRPr="00F130EF">
              <w:rPr>
                <w:lang w:val="en-US"/>
              </w:rPr>
              <w:t>(n = 15)</w:t>
            </w:r>
          </w:p>
        </w:tc>
        <w:tc>
          <w:tcPr>
            <w:tcW w:w="1340" w:type="dxa"/>
            <w:tcBorders>
              <w:top w:val="single" w:sz="12" w:space="0" w:color="auto"/>
              <w:bottom w:val="single" w:sz="12" w:space="0" w:color="auto"/>
            </w:tcBorders>
            <w:shd w:val="clear" w:color="auto" w:fill="F2F2F2" w:themeFill="background1" w:themeFillShade="F2"/>
            <w:noWrap/>
            <w:vAlign w:val="bottom"/>
            <w:hideMark/>
          </w:tcPr>
          <w:p w14:paraId="2F4B12B4" w14:textId="77777777" w:rsidR="00F130EF" w:rsidRPr="00F130EF" w:rsidRDefault="00F130EF" w:rsidP="00F130EF">
            <w:pPr>
              <w:rPr>
                <w:lang w:val="en-US"/>
              </w:rPr>
            </w:pPr>
            <w:r w:rsidRPr="00F130EF">
              <w:rPr>
                <w:lang w:val="en-US"/>
              </w:rPr>
              <w:t>P-value</w:t>
            </w:r>
          </w:p>
        </w:tc>
      </w:tr>
      <w:tr w:rsidR="00F130EF" w:rsidRPr="00F130EF" w14:paraId="72F0F2B0" w14:textId="77777777" w:rsidTr="00A27E1C">
        <w:trPr>
          <w:trHeight w:val="290"/>
        </w:trPr>
        <w:tc>
          <w:tcPr>
            <w:tcW w:w="1620" w:type="dxa"/>
            <w:tcBorders>
              <w:top w:val="single" w:sz="12" w:space="0" w:color="auto"/>
            </w:tcBorders>
            <w:shd w:val="clear" w:color="auto" w:fill="auto"/>
            <w:noWrap/>
            <w:vAlign w:val="bottom"/>
            <w:hideMark/>
          </w:tcPr>
          <w:p w14:paraId="5C62A5E4" w14:textId="77777777" w:rsidR="00F130EF" w:rsidRPr="00F130EF" w:rsidRDefault="00F130EF" w:rsidP="00F130EF">
            <w:pPr>
              <w:rPr>
                <w:lang w:val="en-US"/>
              </w:rPr>
            </w:pPr>
            <w:r w:rsidRPr="00F130EF">
              <w:rPr>
                <w:lang w:val="en-US"/>
              </w:rPr>
              <w:t>Age (years)</w:t>
            </w:r>
          </w:p>
        </w:tc>
        <w:tc>
          <w:tcPr>
            <w:tcW w:w="1350" w:type="dxa"/>
            <w:tcBorders>
              <w:top w:val="single" w:sz="12" w:space="0" w:color="auto"/>
            </w:tcBorders>
            <w:shd w:val="clear" w:color="auto" w:fill="auto"/>
            <w:noWrap/>
            <w:vAlign w:val="bottom"/>
            <w:hideMark/>
          </w:tcPr>
          <w:p w14:paraId="4F830600" w14:textId="77777777" w:rsidR="00F130EF" w:rsidRPr="00F130EF" w:rsidRDefault="00F130EF" w:rsidP="00F130EF">
            <w:pPr>
              <w:rPr>
                <w:lang w:val="en-US"/>
              </w:rPr>
            </w:pPr>
            <w:r w:rsidRPr="00F130EF">
              <w:rPr>
                <w:lang w:val="en-US"/>
              </w:rPr>
              <w:t>Mean ±SD</w:t>
            </w:r>
          </w:p>
        </w:tc>
        <w:tc>
          <w:tcPr>
            <w:tcW w:w="1500" w:type="dxa"/>
            <w:tcBorders>
              <w:top w:val="single" w:sz="12" w:space="0" w:color="auto"/>
            </w:tcBorders>
            <w:shd w:val="clear" w:color="auto" w:fill="auto"/>
            <w:noWrap/>
            <w:vAlign w:val="bottom"/>
            <w:hideMark/>
          </w:tcPr>
          <w:p w14:paraId="708A1699" w14:textId="77777777" w:rsidR="00F130EF" w:rsidRPr="00F130EF" w:rsidRDefault="00F130EF" w:rsidP="00F130EF">
            <w:pPr>
              <w:rPr>
                <w:lang w:val="en-US"/>
              </w:rPr>
            </w:pPr>
            <w:bookmarkStart w:id="1" w:name="_Hlk142029577"/>
            <w:r w:rsidRPr="00F130EF">
              <w:rPr>
                <w:lang w:val="en-US"/>
              </w:rPr>
              <w:t>52 ±8</w:t>
            </w:r>
            <w:bookmarkEnd w:id="1"/>
          </w:p>
        </w:tc>
        <w:tc>
          <w:tcPr>
            <w:tcW w:w="1400" w:type="dxa"/>
            <w:tcBorders>
              <w:top w:val="single" w:sz="12" w:space="0" w:color="auto"/>
            </w:tcBorders>
            <w:shd w:val="clear" w:color="auto" w:fill="auto"/>
            <w:noWrap/>
            <w:vAlign w:val="bottom"/>
            <w:hideMark/>
          </w:tcPr>
          <w:p w14:paraId="7C91DB4C" w14:textId="77777777" w:rsidR="00F130EF" w:rsidRPr="00F130EF" w:rsidRDefault="00F130EF" w:rsidP="00F130EF">
            <w:pPr>
              <w:rPr>
                <w:lang w:val="en-US"/>
              </w:rPr>
            </w:pPr>
            <w:r w:rsidRPr="00F130EF">
              <w:rPr>
                <w:lang w:val="en-US"/>
              </w:rPr>
              <w:t>52 ±7</w:t>
            </w:r>
          </w:p>
        </w:tc>
        <w:tc>
          <w:tcPr>
            <w:tcW w:w="1340" w:type="dxa"/>
            <w:tcBorders>
              <w:top w:val="single" w:sz="12" w:space="0" w:color="auto"/>
            </w:tcBorders>
            <w:shd w:val="clear" w:color="auto" w:fill="auto"/>
            <w:noWrap/>
            <w:vAlign w:val="bottom"/>
            <w:hideMark/>
          </w:tcPr>
          <w:p w14:paraId="0296EC39" w14:textId="77777777" w:rsidR="00F130EF" w:rsidRPr="00F130EF" w:rsidRDefault="00F130EF" w:rsidP="00F130EF">
            <w:pPr>
              <w:rPr>
                <w:lang w:val="en-US"/>
              </w:rPr>
            </w:pPr>
            <w:r w:rsidRPr="00F130EF">
              <w:rPr>
                <w:lang w:val="en-US"/>
              </w:rPr>
              <w:t>0.905</w:t>
            </w:r>
          </w:p>
        </w:tc>
      </w:tr>
      <w:tr w:rsidR="00F130EF" w:rsidRPr="00F130EF" w14:paraId="047794EA" w14:textId="77777777" w:rsidTr="00A27E1C">
        <w:trPr>
          <w:trHeight w:val="290"/>
        </w:trPr>
        <w:tc>
          <w:tcPr>
            <w:tcW w:w="1620" w:type="dxa"/>
            <w:shd w:val="clear" w:color="auto" w:fill="auto"/>
            <w:noWrap/>
            <w:vAlign w:val="bottom"/>
            <w:hideMark/>
          </w:tcPr>
          <w:p w14:paraId="209B3BAF" w14:textId="77777777" w:rsidR="00F130EF" w:rsidRPr="00F130EF" w:rsidRDefault="00F130EF" w:rsidP="00F130EF">
            <w:pPr>
              <w:rPr>
                <w:lang w:val="en-US"/>
              </w:rPr>
            </w:pPr>
            <w:r w:rsidRPr="00F130EF">
              <w:rPr>
                <w:lang w:val="en-US"/>
              </w:rPr>
              <w:t>Sex</w:t>
            </w:r>
          </w:p>
        </w:tc>
        <w:tc>
          <w:tcPr>
            <w:tcW w:w="1350" w:type="dxa"/>
            <w:shd w:val="clear" w:color="auto" w:fill="auto"/>
            <w:noWrap/>
            <w:vAlign w:val="bottom"/>
            <w:hideMark/>
          </w:tcPr>
          <w:p w14:paraId="7E4D68C9" w14:textId="77777777" w:rsidR="00F130EF" w:rsidRPr="00F130EF" w:rsidRDefault="00F130EF" w:rsidP="00F130EF">
            <w:pPr>
              <w:rPr>
                <w:lang w:val="en-US"/>
              </w:rPr>
            </w:pPr>
          </w:p>
        </w:tc>
        <w:tc>
          <w:tcPr>
            <w:tcW w:w="1500" w:type="dxa"/>
            <w:shd w:val="clear" w:color="auto" w:fill="auto"/>
            <w:noWrap/>
            <w:vAlign w:val="bottom"/>
            <w:hideMark/>
          </w:tcPr>
          <w:p w14:paraId="7AB9DA68" w14:textId="77777777" w:rsidR="00F130EF" w:rsidRPr="00F130EF" w:rsidRDefault="00F130EF" w:rsidP="00F130EF">
            <w:pPr>
              <w:rPr>
                <w:lang w:val="en-US"/>
              </w:rPr>
            </w:pPr>
          </w:p>
        </w:tc>
        <w:tc>
          <w:tcPr>
            <w:tcW w:w="1400" w:type="dxa"/>
            <w:shd w:val="clear" w:color="auto" w:fill="auto"/>
            <w:noWrap/>
            <w:vAlign w:val="bottom"/>
            <w:hideMark/>
          </w:tcPr>
          <w:p w14:paraId="46FCBD7E" w14:textId="77777777" w:rsidR="00F130EF" w:rsidRPr="00F130EF" w:rsidRDefault="00F130EF" w:rsidP="00F130EF">
            <w:pPr>
              <w:rPr>
                <w:lang w:val="en-US"/>
              </w:rPr>
            </w:pPr>
          </w:p>
        </w:tc>
        <w:tc>
          <w:tcPr>
            <w:tcW w:w="1340" w:type="dxa"/>
            <w:shd w:val="clear" w:color="auto" w:fill="auto"/>
            <w:noWrap/>
            <w:vAlign w:val="bottom"/>
            <w:hideMark/>
          </w:tcPr>
          <w:p w14:paraId="68FE7266" w14:textId="77777777" w:rsidR="00F130EF" w:rsidRPr="00F130EF" w:rsidRDefault="00F130EF" w:rsidP="00F130EF">
            <w:pPr>
              <w:rPr>
                <w:lang w:val="en-US"/>
              </w:rPr>
            </w:pPr>
          </w:p>
        </w:tc>
      </w:tr>
      <w:tr w:rsidR="00F130EF" w:rsidRPr="00F130EF" w14:paraId="5E9F2B22" w14:textId="77777777" w:rsidTr="00A27E1C">
        <w:trPr>
          <w:trHeight w:val="290"/>
        </w:trPr>
        <w:tc>
          <w:tcPr>
            <w:tcW w:w="1620" w:type="dxa"/>
            <w:shd w:val="clear" w:color="auto" w:fill="auto"/>
            <w:noWrap/>
            <w:vAlign w:val="bottom"/>
            <w:hideMark/>
          </w:tcPr>
          <w:p w14:paraId="7A989106" w14:textId="77777777" w:rsidR="00F130EF" w:rsidRPr="00F130EF" w:rsidRDefault="00F130EF" w:rsidP="00F130EF">
            <w:pPr>
              <w:rPr>
                <w:lang w:val="en-US"/>
              </w:rPr>
            </w:pPr>
            <w:r w:rsidRPr="00F130EF">
              <w:rPr>
                <w:lang w:val="en-US"/>
              </w:rPr>
              <w:t>Males</w:t>
            </w:r>
          </w:p>
        </w:tc>
        <w:tc>
          <w:tcPr>
            <w:tcW w:w="1350" w:type="dxa"/>
            <w:shd w:val="clear" w:color="auto" w:fill="auto"/>
            <w:noWrap/>
            <w:vAlign w:val="bottom"/>
            <w:hideMark/>
          </w:tcPr>
          <w:p w14:paraId="4A007FFA"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103A69C6" w14:textId="77777777" w:rsidR="00F130EF" w:rsidRPr="00F130EF" w:rsidRDefault="00F130EF" w:rsidP="00F130EF">
            <w:pPr>
              <w:rPr>
                <w:lang w:val="en-US"/>
              </w:rPr>
            </w:pPr>
            <w:r w:rsidRPr="00F130EF">
              <w:rPr>
                <w:lang w:val="en-US"/>
              </w:rPr>
              <w:t>9 (60)</w:t>
            </w:r>
          </w:p>
        </w:tc>
        <w:tc>
          <w:tcPr>
            <w:tcW w:w="1400" w:type="dxa"/>
            <w:shd w:val="clear" w:color="auto" w:fill="auto"/>
            <w:noWrap/>
            <w:vAlign w:val="bottom"/>
            <w:hideMark/>
          </w:tcPr>
          <w:p w14:paraId="2BF87D24" w14:textId="77777777" w:rsidR="00F130EF" w:rsidRPr="00F130EF" w:rsidRDefault="00F130EF" w:rsidP="00F130EF">
            <w:pPr>
              <w:rPr>
                <w:lang w:val="en-US"/>
              </w:rPr>
            </w:pPr>
            <w:r w:rsidRPr="00F130EF">
              <w:rPr>
                <w:lang w:val="en-US"/>
              </w:rPr>
              <w:t>10 (66.7)</w:t>
            </w:r>
          </w:p>
        </w:tc>
        <w:tc>
          <w:tcPr>
            <w:tcW w:w="1340" w:type="dxa"/>
            <w:shd w:val="clear" w:color="auto" w:fill="auto"/>
            <w:noWrap/>
            <w:vAlign w:val="bottom"/>
            <w:hideMark/>
          </w:tcPr>
          <w:p w14:paraId="76E587FF" w14:textId="77777777" w:rsidR="00F130EF" w:rsidRPr="00F130EF" w:rsidRDefault="00F130EF" w:rsidP="00F130EF">
            <w:pPr>
              <w:rPr>
                <w:lang w:val="en-US"/>
              </w:rPr>
            </w:pPr>
            <w:r w:rsidRPr="00F130EF">
              <w:rPr>
                <w:lang w:val="en-US"/>
              </w:rPr>
              <w:t>0.705</w:t>
            </w:r>
          </w:p>
        </w:tc>
      </w:tr>
      <w:tr w:rsidR="00F130EF" w:rsidRPr="00F130EF" w14:paraId="2BBBF3A1" w14:textId="77777777" w:rsidTr="00A27E1C">
        <w:trPr>
          <w:trHeight w:val="290"/>
        </w:trPr>
        <w:tc>
          <w:tcPr>
            <w:tcW w:w="1620" w:type="dxa"/>
            <w:shd w:val="clear" w:color="auto" w:fill="auto"/>
            <w:noWrap/>
            <w:vAlign w:val="bottom"/>
            <w:hideMark/>
          </w:tcPr>
          <w:p w14:paraId="1B46ADF7" w14:textId="77777777" w:rsidR="00F130EF" w:rsidRPr="00F130EF" w:rsidRDefault="00F130EF" w:rsidP="00F130EF">
            <w:pPr>
              <w:rPr>
                <w:lang w:val="en-US"/>
              </w:rPr>
            </w:pPr>
            <w:r w:rsidRPr="00F130EF">
              <w:rPr>
                <w:lang w:val="en-US"/>
              </w:rPr>
              <w:t>Females</w:t>
            </w:r>
          </w:p>
        </w:tc>
        <w:tc>
          <w:tcPr>
            <w:tcW w:w="1350" w:type="dxa"/>
            <w:shd w:val="clear" w:color="auto" w:fill="auto"/>
            <w:noWrap/>
            <w:vAlign w:val="bottom"/>
            <w:hideMark/>
          </w:tcPr>
          <w:p w14:paraId="018CA4D1"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0B9B8F5D" w14:textId="77777777" w:rsidR="00F130EF" w:rsidRPr="00F130EF" w:rsidRDefault="00F130EF" w:rsidP="00F130EF">
            <w:pPr>
              <w:rPr>
                <w:lang w:val="en-US"/>
              </w:rPr>
            </w:pPr>
            <w:r w:rsidRPr="00F130EF">
              <w:rPr>
                <w:lang w:val="en-US"/>
              </w:rPr>
              <w:t>6 (40)</w:t>
            </w:r>
          </w:p>
        </w:tc>
        <w:tc>
          <w:tcPr>
            <w:tcW w:w="1400" w:type="dxa"/>
            <w:shd w:val="clear" w:color="auto" w:fill="auto"/>
            <w:noWrap/>
            <w:vAlign w:val="bottom"/>
            <w:hideMark/>
          </w:tcPr>
          <w:p w14:paraId="69D7A76B" w14:textId="77777777" w:rsidR="00F130EF" w:rsidRPr="00F130EF" w:rsidRDefault="00F130EF" w:rsidP="00F130EF">
            <w:pPr>
              <w:rPr>
                <w:lang w:val="en-US"/>
              </w:rPr>
            </w:pPr>
            <w:r w:rsidRPr="00F130EF">
              <w:rPr>
                <w:lang w:val="en-US"/>
              </w:rPr>
              <w:t>5 (33.3)</w:t>
            </w:r>
          </w:p>
        </w:tc>
        <w:tc>
          <w:tcPr>
            <w:tcW w:w="1340" w:type="dxa"/>
            <w:shd w:val="clear" w:color="auto" w:fill="auto"/>
            <w:noWrap/>
            <w:vAlign w:val="bottom"/>
            <w:hideMark/>
          </w:tcPr>
          <w:p w14:paraId="113EA7E7" w14:textId="77777777" w:rsidR="00F130EF" w:rsidRPr="00F130EF" w:rsidRDefault="00F130EF" w:rsidP="00F130EF">
            <w:pPr>
              <w:rPr>
                <w:lang w:val="en-US"/>
              </w:rPr>
            </w:pPr>
          </w:p>
        </w:tc>
      </w:tr>
    </w:tbl>
    <w:p w14:paraId="55DFF053" w14:textId="77777777" w:rsidR="00F130EF" w:rsidRDefault="00F130EF" w:rsidP="009B21B2">
      <w:pPr>
        <w:rPr>
          <w:lang w:val="en-US"/>
        </w:rPr>
      </w:pPr>
    </w:p>
    <w:p w14:paraId="26FAC656" w14:textId="3EF158F8" w:rsidR="00F130EF" w:rsidRPr="009B21B2" w:rsidRDefault="00F130EF" w:rsidP="00F130EF">
      <w:pPr>
        <w:rPr>
          <w:lang w:val="en-US"/>
        </w:rPr>
      </w:pPr>
      <w:r w:rsidRPr="00F130EF">
        <w:rPr>
          <w:lang w:val="en-US"/>
        </w:rPr>
        <w:t>Table (</w:t>
      </w:r>
      <w:r>
        <w:rPr>
          <w:lang w:val="en-US"/>
        </w:rPr>
        <w:t>2</w:t>
      </w:r>
      <w:r w:rsidRPr="00F130EF">
        <w:rPr>
          <w:lang w:val="en-US"/>
        </w:rPr>
        <w:t>) Affected site in the studied groups</w:t>
      </w:r>
      <w:r>
        <w:rPr>
          <w:lang w:val="en-US"/>
        </w:rPr>
        <w:t>.</w:t>
      </w:r>
    </w:p>
    <w:tbl>
      <w:tblPr>
        <w:tblW w:w="7305" w:type="dxa"/>
        <w:tblBorders>
          <w:top w:val="single" w:sz="12" w:space="0" w:color="auto"/>
          <w:bottom w:val="single" w:sz="12" w:space="0" w:color="auto"/>
        </w:tblBorders>
        <w:tblLook w:val="04A0" w:firstRow="1" w:lastRow="0" w:firstColumn="1" w:lastColumn="0" w:noHBand="0" w:noVBand="1"/>
      </w:tblPr>
      <w:tblGrid>
        <w:gridCol w:w="1890"/>
        <w:gridCol w:w="1350"/>
        <w:gridCol w:w="1500"/>
        <w:gridCol w:w="1400"/>
        <w:gridCol w:w="1165"/>
      </w:tblGrid>
      <w:tr w:rsidR="00F130EF" w:rsidRPr="00F130EF" w14:paraId="06C77E54" w14:textId="77777777" w:rsidTr="00A27E1C">
        <w:trPr>
          <w:trHeight w:val="290"/>
        </w:trPr>
        <w:tc>
          <w:tcPr>
            <w:tcW w:w="1890" w:type="dxa"/>
            <w:tcBorders>
              <w:top w:val="single" w:sz="12" w:space="0" w:color="auto"/>
              <w:bottom w:val="single" w:sz="12" w:space="0" w:color="auto"/>
            </w:tcBorders>
            <w:shd w:val="clear" w:color="auto" w:fill="F2F2F2" w:themeFill="background1" w:themeFillShade="F2"/>
            <w:noWrap/>
            <w:vAlign w:val="bottom"/>
            <w:hideMark/>
          </w:tcPr>
          <w:p w14:paraId="7D97A7C8" w14:textId="77777777" w:rsidR="00F130EF" w:rsidRPr="00F130EF" w:rsidRDefault="00F130EF" w:rsidP="00F130EF">
            <w:pPr>
              <w:rPr>
                <w:lang w:val="en-US"/>
              </w:rPr>
            </w:pPr>
          </w:p>
        </w:tc>
        <w:tc>
          <w:tcPr>
            <w:tcW w:w="1350" w:type="dxa"/>
            <w:tcBorders>
              <w:top w:val="single" w:sz="12" w:space="0" w:color="auto"/>
              <w:bottom w:val="single" w:sz="12" w:space="0" w:color="auto"/>
            </w:tcBorders>
            <w:shd w:val="clear" w:color="auto" w:fill="F2F2F2" w:themeFill="background1" w:themeFillShade="F2"/>
            <w:noWrap/>
            <w:vAlign w:val="bottom"/>
            <w:hideMark/>
          </w:tcPr>
          <w:p w14:paraId="3E0C9BFE"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04C92E54" w14:textId="77777777" w:rsidR="00F130EF" w:rsidRPr="00F130EF" w:rsidRDefault="00F130EF" w:rsidP="00F130EF">
            <w:pPr>
              <w:rPr>
                <w:lang w:val="en-US"/>
              </w:rPr>
            </w:pPr>
            <w:r w:rsidRPr="00F130EF">
              <w:rPr>
                <w:lang w:val="en-US"/>
              </w:rPr>
              <w:t>Group A</w:t>
            </w:r>
          </w:p>
          <w:p w14:paraId="3502F1D5"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4D043D63" w14:textId="77777777" w:rsidR="00F130EF" w:rsidRPr="00F130EF" w:rsidRDefault="00F130EF" w:rsidP="00F130EF">
            <w:pPr>
              <w:rPr>
                <w:lang w:val="en-US"/>
              </w:rPr>
            </w:pPr>
            <w:r w:rsidRPr="00F130EF">
              <w:rPr>
                <w:lang w:val="en-US"/>
              </w:rPr>
              <w:t>Group B</w:t>
            </w:r>
          </w:p>
          <w:p w14:paraId="36B3E3F8"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2E3D753D" w14:textId="77777777" w:rsidR="00F130EF" w:rsidRPr="00F130EF" w:rsidRDefault="00F130EF" w:rsidP="00F130EF">
            <w:pPr>
              <w:rPr>
                <w:lang w:val="en-US"/>
              </w:rPr>
            </w:pPr>
            <w:r w:rsidRPr="00F130EF">
              <w:rPr>
                <w:lang w:val="en-US"/>
              </w:rPr>
              <w:t>P-value</w:t>
            </w:r>
          </w:p>
        </w:tc>
      </w:tr>
      <w:tr w:rsidR="00F130EF" w:rsidRPr="00F130EF" w14:paraId="13C3ADDC" w14:textId="77777777" w:rsidTr="00A27E1C">
        <w:trPr>
          <w:trHeight w:val="290"/>
        </w:trPr>
        <w:tc>
          <w:tcPr>
            <w:tcW w:w="1890" w:type="dxa"/>
            <w:shd w:val="clear" w:color="auto" w:fill="auto"/>
            <w:noWrap/>
            <w:vAlign w:val="bottom"/>
            <w:hideMark/>
          </w:tcPr>
          <w:p w14:paraId="2E4615D6" w14:textId="77777777" w:rsidR="00F130EF" w:rsidRPr="00F130EF" w:rsidRDefault="00F130EF" w:rsidP="00F130EF">
            <w:pPr>
              <w:rPr>
                <w:lang w:val="en-US"/>
              </w:rPr>
            </w:pPr>
            <w:r w:rsidRPr="00F130EF">
              <w:rPr>
                <w:lang w:val="en-US"/>
              </w:rPr>
              <w:t>Site</w:t>
            </w:r>
          </w:p>
        </w:tc>
        <w:tc>
          <w:tcPr>
            <w:tcW w:w="1350" w:type="dxa"/>
            <w:shd w:val="clear" w:color="auto" w:fill="auto"/>
            <w:noWrap/>
            <w:vAlign w:val="bottom"/>
            <w:hideMark/>
          </w:tcPr>
          <w:p w14:paraId="51C08ADB" w14:textId="77777777" w:rsidR="00F130EF" w:rsidRPr="00F130EF" w:rsidRDefault="00F130EF" w:rsidP="00F130EF">
            <w:pPr>
              <w:rPr>
                <w:lang w:val="en-US"/>
              </w:rPr>
            </w:pPr>
          </w:p>
        </w:tc>
        <w:tc>
          <w:tcPr>
            <w:tcW w:w="1500" w:type="dxa"/>
            <w:shd w:val="clear" w:color="auto" w:fill="auto"/>
            <w:noWrap/>
            <w:vAlign w:val="bottom"/>
            <w:hideMark/>
          </w:tcPr>
          <w:p w14:paraId="629BE4C6" w14:textId="77777777" w:rsidR="00F130EF" w:rsidRPr="00F130EF" w:rsidRDefault="00F130EF" w:rsidP="00F130EF">
            <w:pPr>
              <w:rPr>
                <w:lang w:val="en-US"/>
              </w:rPr>
            </w:pPr>
          </w:p>
        </w:tc>
        <w:tc>
          <w:tcPr>
            <w:tcW w:w="1400" w:type="dxa"/>
            <w:shd w:val="clear" w:color="auto" w:fill="auto"/>
            <w:noWrap/>
            <w:vAlign w:val="bottom"/>
            <w:hideMark/>
          </w:tcPr>
          <w:p w14:paraId="11A46B61" w14:textId="77777777" w:rsidR="00F130EF" w:rsidRPr="00F130EF" w:rsidRDefault="00F130EF" w:rsidP="00F130EF">
            <w:pPr>
              <w:rPr>
                <w:lang w:val="en-US"/>
              </w:rPr>
            </w:pPr>
          </w:p>
        </w:tc>
        <w:tc>
          <w:tcPr>
            <w:tcW w:w="1165" w:type="dxa"/>
            <w:shd w:val="clear" w:color="auto" w:fill="auto"/>
            <w:noWrap/>
            <w:vAlign w:val="bottom"/>
            <w:hideMark/>
          </w:tcPr>
          <w:p w14:paraId="6BB82DD8" w14:textId="77777777" w:rsidR="00F130EF" w:rsidRPr="00F130EF" w:rsidRDefault="00F130EF" w:rsidP="00F130EF">
            <w:pPr>
              <w:rPr>
                <w:lang w:val="en-US"/>
              </w:rPr>
            </w:pPr>
          </w:p>
        </w:tc>
      </w:tr>
      <w:tr w:rsidR="00F130EF" w:rsidRPr="00F130EF" w14:paraId="1FE963D0" w14:textId="77777777" w:rsidTr="00A27E1C">
        <w:trPr>
          <w:trHeight w:val="290"/>
        </w:trPr>
        <w:tc>
          <w:tcPr>
            <w:tcW w:w="1890" w:type="dxa"/>
            <w:shd w:val="clear" w:color="auto" w:fill="auto"/>
            <w:noWrap/>
            <w:vAlign w:val="bottom"/>
            <w:hideMark/>
          </w:tcPr>
          <w:p w14:paraId="54F18419" w14:textId="77777777" w:rsidR="00F130EF" w:rsidRPr="00F130EF" w:rsidRDefault="00F130EF" w:rsidP="00F130EF">
            <w:pPr>
              <w:rPr>
                <w:lang w:val="en-US"/>
              </w:rPr>
            </w:pPr>
            <w:r w:rsidRPr="00F130EF">
              <w:rPr>
                <w:lang w:val="en-US"/>
              </w:rPr>
              <w:lastRenderedPageBreak/>
              <w:t>Thoracic</w:t>
            </w:r>
          </w:p>
        </w:tc>
        <w:tc>
          <w:tcPr>
            <w:tcW w:w="1350" w:type="dxa"/>
            <w:shd w:val="clear" w:color="auto" w:fill="auto"/>
            <w:noWrap/>
            <w:vAlign w:val="bottom"/>
            <w:hideMark/>
          </w:tcPr>
          <w:p w14:paraId="50658F3E"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63352765" w14:textId="77777777" w:rsidR="00F130EF" w:rsidRPr="00F130EF" w:rsidRDefault="00F130EF" w:rsidP="00F130EF">
            <w:pPr>
              <w:rPr>
                <w:lang w:val="en-US"/>
              </w:rPr>
            </w:pPr>
            <w:r w:rsidRPr="00F130EF">
              <w:rPr>
                <w:lang w:val="en-US"/>
              </w:rPr>
              <w:t>2 (13.3)</w:t>
            </w:r>
          </w:p>
        </w:tc>
        <w:tc>
          <w:tcPr>
            <w:tcW w:w="1400" w:type="dxa"/>
            <w:shd w:val="clear" w:color="auto" w:fill="auto"/>
            <w:noWrap/>
            <w:vAlign w:val="bottom"/>
            <w:hideMark/>
          </w:tcPr>
          <w:p w14:paraId="093540C9" w14:textId="77777777" w:rsidR="00F130EF" w:rsidRPr="00F130EF" w:rsidRDefault="00F130EF" w:rsidP="00F130EF">
            <w:pPr>
              <w:rPr>
                <w:lang w:val="en-US"/>
              </w:rPr>
            </w:pPr>
            <w:r w:rsidRPr="00F130EF">
              <w:rPr>
                <w:lang w:val="en-US"/>
              </w:rPr>
              <w:t>5 (33.3)</w:t>
            </w:r>
          </w:p>
        </w:tc>
        <w:tc>
          <w:tcPr>
            <w:tcW w:w="1165" w:type="dxa"/>
            <w:shd w:val="clear" w:color="auto" w:fill="auto"/>
            <w:noWrap/>
            <w:vAlign w:val="bottom"/>
            <w:hideMark/>
          </w:tcPr>
          <w:p w14:paraId="5B03127E" w14:textId="77777777" w:rsidR="00F130EF" w:rsidRPr="00F130EF" w:rsidRDefault="00F130EF" w:rsidP="00F130EF">
            <w:pPr>
              <w:rPr>
                <w:lang w:val="en-US"/>
              </w:rPr>
            </w:pPr>
            <w:r w:rsidRPr="00F130EF">
              <w:rPr>
                <w:lang w:val="en-US"/>
              </w:rPr>
              <w:t>0.52</w:t>
            </w:r>
            <w:r w:rsidRPr="00F130EF">
              <w:rPr>
                <w:rtl/>
                <w:lang w:val="en-US"/>
              </w:rPr>
              <w:t>0</w:t>
            </w:r>
          </w:p>
        </w:tc>
      </w:tr>
      <w:tr w:rsidR="00F130EF" w:rsidRPr="00F130EF" w14:paraId="5A65E2D3" w14:textId="77777777" w:rsidTr="00A27E1C">
        <w:trPr>
          <w:trHeight w:val="290"/>
        </w:trPr>
        <w:tc>
          <w:tcPr>
            <w:tcW w:w="1890" w:type="dxa"/>
            <w:shd w:val="clear" w:color="auto" w:fill="auto"/>
            <w:noWrap/>
            <w:vAlign w:val="bottom"/>
            <w:hideMark/>
          </w:tcPr>
          <w:p w14:paraId="57A6D596" w14:textId="77777777" w:rsidR="00F130EF" w:rsidRPr="00F130EF" w:rsidRDefault="00F130EF" w:rsidP="00F130EF">
            <w:pPr>
              <w:rPr>
                <w:lang w:val="en-US"/>
              </w:rPr>
            </w:pPr>
            <w:r w:rsidRPr="00F130EF">
              <w:rPr>
                <w:lang w:val="en-US"/>
              </w:rPr>
              <w:t>Thoracolumbar</w:t>
            </w:r>
          </w:p>
        </w:tc>
        <w:tc>
          <w:tcPr>
            <w:tcW w:w="1350" w:type="dxa"/>
            <w:shd w:val="clear" w:color="auto" w:fill="auto"/>
            <w:noWrap/>
            <w:vAlign w:val="bottom"/>
            <w:hideMark/>
          </w:tcPr>
          <w:p w14:paraId="365CD015"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21A78162" w14:textId="77777777" w:rsidR="00F130EF" w:rsidRPr="00F130EF" w:rsidRDefault="00F130EF" w:rsidP="00F130EF">
            <w:pPr>
              <w:rPr>
                <w:lang w:val="en-US"/>
              </w:rPr>
            </w:pPr>
            <w:r w:rsidRPr="00F130EF">
              <w:rPr>
                <w:lang w:val="en-US"/>
              </w:rPr>
              <w:t>6 (40)</w:t>
            </w:r>
          </w:p>
        </w:tc>
        <w:tc>
          <w:tcPr>
            <w:tcW w:w="1400" w:type="dxa"/>
            <w:shd w:val="clear" w:color="auto" w:fill="auto"/>
            <w:noWrap/>
            <w:vAlign w:val="bottom"/>
            <w:hideMark/>
          </w:tcPr>
          <w:p w14:paraId="321B5894" w14:textId="77777777" w:rsidR="00F130EF" w:rsidRPr="00F130EF" w:rsidRDefault="00F130EF" w:rsidP="00F130EF">
            <w:pPr>
              <w:rPr>
                <w:lang w:val="en-US"/>
              </w:rPr>
            </w:pPr>
            <w:r w:rsidRPr="00F130EF">
              <w:rPr>
                <w:lang w:val="en-US"/>
              </w:rPr>
              <w:t>4 (26.7)</w:t>
            </w:r>
          </w:p>
        </w:tc>
        <w:tc>
          <w:tcPr>
            <w:tcW w:w="1165" w:type="dxa"/>
            <w:shd w:val="clear" w:color="auto" w:fill="auto"/>
            <w:noWrap/>
            <w:vAlign w:val="bottom"/>
            <w:hideMark/>
          </w:tcPr>
          <w:p w14:paraId="5E2206A5" w14:textId="77777777" w:rsidR="00F130EF" w:rsidRPr="00F130EF" w:rsidRDefault="00F130EF" w:rsidP="00F130EF">
            <w:pPr>
              <w:rPr>
                <w:lang w:val="en-US"/>
              </w:rPr>
            </w:pPr>
          </w:p>
        </w:tc>
      </w:tr>
      <w:tr w:rsidR="00F130EF" w:rsidRPr="00F130EF" w14:paraId="40DC78E5" w14:textId="77777777" w:rsidTr="00A27E1C">
        <w:trPr>
          <w:trHeight w:val="290"/>
        </w:trPr>
        <w:tc>
          <w:tcPr>
            <w:tcW w:w="1890" w:type="dxa"/>
            <w:shd w:val="clear" w:color="auto" w:fill="auto"/>
            <w:noWrap/>
            <w:vAlign w:val="bottom"/>
            <w:hideMark/>
          </w:tcPr>
          <w:p w14:paraId="11BB8E4C" w14:textId="77777777" w:rsidR="00F130EF" w:rsidRPr="00F130EF" w:rsidRDefault="00F130EF" w:rsidP="00F130EF">
            <w:pPr>
              <w:rPr>
                <w:lang w:val="en-US"/>
              </w:rPr>
            </w:pPr>
            <w:r w:rsidRPr="00F130EF">
              <w:rPr>
                <w:lang w:val="en-US"/>
              </w:rPr>
              <w:t>Lumbar</w:t>
            </w:r>
          </w:p>
        </w:tc>
        <w:tc>
          <w:tcPr>
            <w:tcW w:w="1350" w:type="dxa"/>
            <w:shd w:val="clear" w:color="auto" w:fill="auto"/>
            <w:noWrap/>
            <w:vAlign w:val="bottom"/>
            <w:hideMark/>
          </w:tcPr>
          <w:p w14:paraId="634EC4B0"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5FDC6DED" w14:textId="77777777" w:rsidR="00F130EF" w:rsidRPr="00F130EF" w:rsidRDefault="00F130EF" w:rsidP="00F130EF">
            <w:pPr>
              <w:rPr>
                <w:lang w:val="en-US"/>
              </w:rPr>
            </w:pPr>
            <w:r w:rsidRPr="00F130EF">
              <w:rPr>
                <w:lang w:val="en-US"/>
              </w:rPr>
              <w:t>7 (46.7)</w:t>
            </w:r>
          </w:p>
        </w:tc>
        <w:tc>
          <w:tcPr>
            <w:tcW w:w="1400" w:type="dxa"/>
            <w:shd w:val="clear" w:color="auto" w:fill="auto"/>
            <w:noWrap/>
            <w:vAlign w:val="bottom"/>
            <w:hideMark/>
          </w:tcPr>
          <w:p w14:paraId="2671FCB5" w14:textId="77777777" w:rsidR="00F130EF" w:rsidRPr="00F130EF" w:rsidRDefault="00F130EF" w:rsidP="00F130EF">
            <w:pPr>
              <w:rPr>
                <w:lang w:val="en-US"/>
              </w:rPr>
            </w:pPr>
            <w:r w:rsidRPr="00F130EF">
              <w:rPr>
                <w:lang w:val="en-US"/>
              </w:rPr>
              <w:t>6 (40)</w:t>
            </w:r>
          </w:p>
        </w:tc>
        <w:tc>
          <w:tcPr>
            <w:tcW w:w="1165" w:type="dxa"/>
            <w:shd w:val="clear" w:color="auto" w:fill="auto"/>
            <w:noWrap/>
            <w:vAlign w:val="bottom"/>
            <w:hideMark/>
          </w:tcPr>
          <w:p w14:paraId="7DF87CE6" w14:textId="77777777" w:rsidR="00F130EF" w:rsidRPr="00F130EF" w:rsidRDefault="00F130EF" w:rsidP="00F130EF">
            <w:pPr>
              <w:rPr>
                <w:lang w:val="en-US"/>
              </w:rPr>
            </w:pPr>
          </w:p>
        </w:tc>
      </w:tr>
    </w:tbl>
    <w:p w14:paraId="2602A32A" w14:textId="7FCE435A" w:rsidR="00F130EF" w:rsidRDefault="00F130EF" w:rsidP="00F130EF">
      <w:pPr>
        <w:rPr>
          <w:lang w:val="en-US"/>
        </w:rPr>
      </w:pPr>
    </w:p>
    <w:p w14:paraId="2ECABECC" w14:textId="4B02253A" w:rsidR="00F130EF" w:rsidRPr="00F130EF" w:rsidRDefault="00F130EF" w:rsidP="00F130EF">
      <w:pPr>
        <w:rPr>
          <w:lang w:val="en-US"/>
        </w:rPr>
      </w:pPr>
      <w:r w:rsidRPr="00F130EF">
        <w:rPr>
          <w:lang w:val="en-US"/>
        </w:rPr>
        <w:t>Table (</w:t>
      </w:r>
      <w:r>
        <w:rPr>
          <w:lang w:val="en-US"/>
        </w:rPr>
        <w:t>3</w:t>
      </w:r>
      <w:r w:rsidRPr="00F130EF">
        <w:rPr>
          <w:lang w:val="en-US"/>
        </w:rPr>
        <w:t xml:space="preserve">) Risk factors in the studied groups </w:t>
      </w:r>
    </w:p>
    <w:tbl>
      <w:tblPr>
        <w:tblW w:w="7485" w:type="dxa"/>
        <w:tblBorders>
          <w:top w:val="single" w:sz="12" w:space="0" w:color="auto"/>
          <w:bottom w:val="single" w:sz="12" w:space="0" w:color="auto"/>
        </w:tblBorders>
        <w:tblLook w:val="04A0" w:firstRow="1" w:lastRow="0" w:firstColumn="1" w:lastColumn="0" w:noHBand="0" w:noVBand="1"/>
      </w:tblPr>
      <w:tblGrid>
        <w:gridCol w:w="2250"/>
        <w:gridCol w:w="1170"/>
        <w:gridCol w:w="1500"/>
        <w:gridCol w:w="1400"/>
        <w:gridCol w:w="1165"/>
      </w:tblGrid>
      <w:tr w:rsidR="00F130EF" w:rsidRPr="00F130EF" w14:paraId="38AE197D" w14:textId="77777777" w:rsidTr="00A27E1C">
        <w:trPr>
          <w:trHeight w:val="290"/>
        </w:trPr>
        <w:tc>
          <w:tcPr>
            <w:tcW w:w="2250" w:type="dxa"/>
            <w:tcBorders>
              <w:top w:val="single" w:sz="12" w:space="0" w:color="auto"/>
              <w:bottom w:val="single" w:sz="12" w:space="0" w:color="auto"/>
            </w:tcBorders>
            <w:shd w:val="clear" w:color="auto" w:fill="F2F2F2" w:themeFill="background1" w:themeFillShade="F2"/>
            <w:noWrap/>
            <w:vAlign w:val="bottom"/>
            <w:hideMark/>
          </w:tcPr>
          <w:p w14:paraId="33066044" w14:textId="77777777" w:rsidR="00F130EF" w:rsidRPr="00F130EF" w:rsidRDefault="00F130EF" w:rsidP="00F130EF">
            <w:pPr>
              <w:rPr>
                <w:lang w:val="en-US"/>
              </w:rPr>
            </w:pPr>
          </w:p>
        </w:tc>
        <w:tc>
          <w:tcPr>
            <w:tcW w:w="1170" w:type="dxa"/>
            <w:tcBorders>
              <w:top w:val="single" w:sz="12" w:space="0" w:color="auto"/>
              <w:bottom w:val="single" w:sz="12" w:space="0" w:color="auto"/>
            </w:tcBorders>
            <w:shd w:val="clear" w:color="auto" w:fill="F2F2F2" w:themeFill="background1" w:themeFillShade="F2"/>
            <w:noWrap/>
            <w:vAlign w:val="bottom"/>
            <w:hideMark/>
          </w:tcPr>
          <w:p w14:paraId="16A7E779"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4267CD78" w14:textId="77777777" w:rsidR="00F130EF" w:rsidRPr="00F130EF" w:rsidRDefault="00F130EF" w:rsidP="00F130EF">
            <w:pPr>
              <w:rPr>
                <w:lang w:val="en-US"/>
              </w:rPr>
            </w:pPr>
            <w:r w:rsidRPr="00F130EF">
              <w:rPr>
                <w:lang w:val="en-US"/>
              </w:rPr>
              <w:t>Group A</w:t>
            </w:r>
          </w:p>
          <w:p w14:paraId="23425D7F"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44099000" w14:textId="77777777" w:rsidR="00F130EF" w:rsidRPr="00F130EF" w:rsidRDefault="00F130EF" w:rsidP="00F130EF">
            <w:pPr>
              <w:rPr>
                <w:lang w:val="en-US"/>
              </w:rPr>
            </w:pPr>
            <w:r w:rsidRPr="00F130EF">
              <w:rPr>
                <w:lang w:val="en-US"/>
              </w:rPr>
              <w:t>Group B</w:t>
            </w:r>
          </w:p>
          <w:p w14:paraId="3DE6390D"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44277486" w14:textId="77777777" w:rsidR="00F130EF" w:rsidRPr="00F130EF" w:rsidRDefault="00F130EF" w:rsidP="00F130EF">
            <w:pPr>
              <w:rPr>
                <w:lang w:val="en-US"/>
              </w:rPr>
            </w:pPr>
            <w:r w:rsidRPr="00F130EF">
              <w:rPr>
                <w:lang w:val="en-US"/>
              </w:rPr>
              <w:t>P-value</w:t>
            </w:r>
          </w:p>
        </w:tc>
      </w:tr>
      <w:tr w:rsidR="00F130EF" w:rsidRPr="00F130EF" w14:paraId="7581B598" w14:textId="77777777" w:rsidTr="00A27E1C">
        <w:trPr>
          <w:trHeight w:val="290"/>
        </w:trPr>
        <w:tc>
          <w:tcPr>
            <w:tcW w:w="2250" w:type="dxa"/>
            <w:shd w:val="clear" w:color="auto" w:fill="auto"/>
            <w:noWrap/>
            <w:vAlign w:val="bottom"/>
            <w:hideMark/>
          </w:tcPr>
          <w:p w14:paraId="0A149DF7" w14:textId="77777777" w:rsidR="00F130EF" w:rsidRPr="00F130EF" w:rsidRDefault="00F130EF" w:rsidP="00F130EF">
            <w:pPr>
              <w:rPr>
                <w:lang w:val="en-US"/>
              </w:rPr>
            </w:pPr>
            <w:r w:rsidRPr="00F130EF">
              <w:rPr>
                <w:lang w:val="en-US"/>
              </w:rPr>
              <w:t>Risk factor</w:t>
            </w:r>
          </w:p>
        </w:tc>
        <w:tc>
          <w:tcPr>
            <w:tcW w:w="1170" w:type="dxa"/>
            <w:shd w:val="clear" w:color="auto" w:fill="auto"/>
            <w:noWrap/>
            <w:vAlign w:val="bottom"/>
            <w:hideMark/>
          </w:tcPr>
          <w:p w14:paraId="53FCC021" w14:textId="77777777" w:rsidR="00F130EF" w:rsidRPr="00F130EF" w:rsidRDefault="00F130EF" w:rsidP="00F130EF">
            <w:pPr>
              <w:rPr>
                <w:lang w:val="en-US"/>
              </w:rPr>
            </w:pPr>
          </w:p>
        </w:tc>
        <w:tc>
          <w:tcPr>
            <w:tcW w:w="1500" w:type="dxa"/>
            <w:shd w:val="clear" w:color="auto" w:fill="auto"/>
            <w:noWrap/>
            <w:vAlign w:val="bottom"/>
            <w:hideMark/>
          </w:tcPr>
          <w:p w14:paraId="2263A30F" w14:textId="77777777" w:rsidR="00F130EF" w:rsidRPr="00F130EF" w:rsidRDefault="00F130EF" w:rsidP="00F130EF">
            <w:pPr>
              <w:rPr>
                <w:lang w:val="en-US"/>
              </w:rPr>
            </w:pPr>
          </w:p>
        </w:tc>
        <w:tc>
          <w:tcPr>
            <w:tcW w:w="1400" w:type="dxa"/>
            <w:shd w:val="clear" w:color="auto" w:fill="auto"/>
            <w:noWrap/>
            <w:vAlign w:val="bottom"/>
            <w:hideMark/>
          </w:tcPr>
          <w:p w14:paraId="63732D98" w14:textId="77777777" w:rsidR="00F130EF" w:rsidRPr="00F130EF" w:rsidRDefault="00F130EF" w:rsidP="00F130EF">
            <w:pPr>
              <w:rPr>
                <w:lang w:val="en-US"/>
              </w:rPr>
            </w:pPr>
          </w:p>
        </w:tc>
        <w:tc>
          <w:tcPr>
            <w:tcW w:w="1165" w:type="dxa"/>
            <w:shd w:val="clear" w:color="auto" w:fill="auto"/>
            <w:noWrap/>
            <w:vAlign w:val="bottom"/>
            <w:hideMark/>
          </w:tcPr>
          <w:p w14:paraId="54A9146E" w14:textId="77777777" w:rsidR="00F130EF" w:rsidRPr="00F130EF" w:rsidRDefault="00F130EF" w:rsidP="00F130EF">
            <w:pPr>
              <w:rPr>
                <w:lang w:val="en-US"/>
              </w:rPr>
            </w:pPr>
          </w:p>
        </w:tc>
      </w:tr>
      <w:tr w:rsidR="00F130EF" w:rsidRPr="00F130EF" w14:paraId="1BA5EDF1" w14:textId="77777777" w:rsidTr="00A27E1C">
        <w:trPr>
          <w:trHeight w:val="290"/>
        </w:trPr>
        <w:tc>
          <w:tcPr>
            <w:tcW w:w="2250" w:type="dxa"/>
            <w:shd w:val="clear" w:color="auto" w:fill="auto"/>
            <w:noWrap/>
            <w:vAlign w:val="bottom"/>
            <w:hideMark/>
          </w:tcPr>
          <w:p w14:paraId="0C208F2B" w14:textId="77777777" w:rsidR="00F130EF" w:rsidRPr="00F130EF" w:rsidRDefault="00F130EF" w:rsidP="00F130EF">
            <w:pPr>
              <w:rPr>
                <w:lang w:val="en-US"/>
              </w:rPr>
            </w:pPr>
            <w:r w:rsidRPr="00F130EF">
              <w:rPr>
                <w:lang w:val="en-US"/>
              </w:rPr>
              <w:t>Chronic disease</w:t>
            </w:r>
          </w:p>
        </w:tc>
        <w:tc>
          <w:tcPr>
            <w:tcW w:w="1170" w:type="dxa"/>
            <w:shd w:val="clear" w:color="auto" w:fill="auto"/>
            <w:noWrap/>
            <w:vAlign w:val="bottom"/>
            <w:hideMark/>
          </w:tcPr>
          <w:p w14:paraId="58211D57"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096F7FB4" w14:textId="77777777" w:rsidR="00F130EF" w:rsidRPr="00F130EF" w:rsidRDefault="00F130EF" w:rsidP="00F130EF">
            <w:pPr>
              <w:rPr>
                <w:lang w:val="en-US"/>
              </w:rPr>
            </w:pPr>
            <w:r w:rsidRPr="00F130EF">
              <w:rPr>
                <w:lang w:val="en-US"/>
              </w:rPr>
              <w:t>12 (80)</w:t>
            </w:r>
          </w:p>
        </w:tc>
        <w:tc>
          <w:tcPr>
            <w:tcW w:w="1400" w:type="dxa"/>
            <w:shd w:val="clear" w:color="auto" w:fill="auto"/>
            <w:noWrap/>
            <w:vAlign w:val="bottom"/>
            <w:hideMark/>
          </w:tcPr>
          <w:p w14:paraId="1582E1DA" w14:textId="77777777" w:rsidR="00F130EF" w:rsidRPr="00F130EF" w:rsidRDefault="00F130EF" w:rsidP="00F130EF">
            <w:pPr>
              <w:rPr>
                <w:lang w:val="en-US"/>
              </w:rPr>
            </w:pPr>
            <w:r w:rsidRPr="00F130EF">
              <w:rPr>
                <w:lang w:val="en-US"/>
              </w:rPr>
              <w:t>12 (80)</w:t>
            </w:r>
          </w:p>
        </w:tc>
        <w:tc>
          <w:tcPr>
            <w:tcW w:w="1165" w:type="dxa"/>
            <w:shd w:val="clear" w:color="auto" w:fill="auto"/>
            <w:noWrap/>
            <w:vAlign w:val="bottom"/>
            <w:hideMark/>
          </w:tcPr>
          <w:p w14:paraId="591F2A48" w14:textId="77777777" w:rsidR="00F130EF" w:rsidRPr="00F130EF" w:rsidRDefault="00F130EF" w:rsidP="00F130EF">
            <w:pPr>
              <w:rPr>
                <w:lang w:val="en-US"/>
              </w:rPr>
            </w:pPr>
            <w:r w:rsidRPr="00F130EF">
              <w:rPr>
                <w:lang w:val="en-US"/>
              </w:rPr>
              <w:t>1.0</w:t>
            </w:r>
          </w:p>
        </w:tc>
      </w:tr>
      <w:tr w:rsidR="00F130EF" w:rsidRPr="00F130EF" w14:paraId="51F83E85" w14:textId="77777777" w:rsidTr="00A27E1C">
        <w:trPr>
          <w:trHeight w:val="290"/>
        </w:trPr>
        <w:tc>
          <w:tcPr>
            <w:tcW w:w="2250" w:type="dxa"/>
            <w:shd w:val="clear" w:color="auto" w:fill="auto"/>
            <w:noWrap/>
            <w:vAlign w:val="bottom"/>
            <w:hideMark/>
          </w:tcPr>
          <w:p w14:paraId="47A5EB9A" w14:textId="77777777" w:rsidR="00F130EF" w:rsidRPr="00F130EF" w:rsidRDefault="00F130EF" w:rsidP="00F130EF">
            <w:pPr>
              <w:rPr>
                <w:lang w:val="en-US"/>
              </w:rPr>
            </w:pPr>
            <w:r w:rsidRPr="00F130EF">
              <w:rPr>
                <w:lang w:val="en-US"/>
              </w:rPr>
              <w:t>Previous surgery</w:t>
            </w:r>
          </w:p>
        </w:tc>
        <w:tc>
          <w:tcPr>
            <w:tcW w:w="1170" w:type="dxa"/>
            <w:shd w:val="clear" w:color="auto" w:fill="auto"/>
            <w:noWrap/>
            <w:vAlign w:val="bottom"/>
            <w:hideMark/>
          </w:tcPr>
          <w:p w14:paraId="434C3D80"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5EE02713" w14:textId="77777777" w:rsidR="00F130EF" w:rsidRPr="00F130EF" w:rsidRDefault="00F130EF" w:rsidP="00F130EF">
            <w:pPr>
              <w:rPr>
                <w:lang w:val="en-US"/>
              </w:rPr>
            </w:pPr>
            <w:r w:rsidRPr="00F130EF">
              <w:rPr>
                <w:lang w:val="en-US"/>
              </w:rPr>
              <w:t>3 (20)</w:t>
            </w:r>
          </w:p>
        </w:tc>
        <w:tc>
          <w:tcPr>
            <w:tcW w:w="1400" w:type="dxa"/>
            <w:shd w:val="clear" w:color="auto" w:fill="auto"/>
            <w:noWrap/>
            <w:vAlign w:val="bottom"/>
            <w:hideMark/>
          </w:tcPr>
          <w:p w14:paraId="5847D9FE" w14:textId="77777777" w:rsidR="00F130EF" w:rsidRPr="00F130EF" w:rsidRDefault="00F130EF" w:rsidP="00F130EF">
            <w:pPr>
              <w:rPr>
                <w:lang w:val="en-US"/>
              </w:rPr>
            </w:pPr>
            <w:r w:rsidRPr="00F130EF">
              <w:rPr>
                <w:lang w:val="en-US"/>
              </w:rPr>
              <w:t>2 (13.3)</w:t>
            </w:r>
          </w:p>
        </w:tc>
        <w:tc>
          <w:tcPr>
            <w:tcW w:w="1165" w:type="dxa"/>
            <w:shd w:val="clear" w:color="auto" w:fill="auto"/>
            <w:noWrap/>
            <w:vAlign w:val="bottom"/>
            <w:hideMark/>
          </w:tcPr>
          <w:p w14:paraId="5782DA29" w14:textId="77777777" w:rsidR="00F130EF" w:rsidRPr="00F130EF" w:rsidRDefault="00F130EF" w:rsidP="00F130EF">
            <w:pPr>
              <w:rPr>
                <w:lang w:val="en-US"/>
              </w:rPr>
            </w:pPr>
          </w:p>
        </w:tc>
      </w:tr>
      <w:tr w:rsidR="00F130EF" w:rsidRPr="00F130EF" w14:paraId="6D3EA706" w14:textId="77777777" w:rsidTr="00A27E1C">
        <w:trPr>
          <w:trHeight w:val="290"/>
        </w:trPr>
        <w:tc>
          <w:tcPr>
            <w:tcW w:w="2250" w:type="dxa"/>
            <w:shd w:val="clear" w:color="auto" w:fill="auto"/>
            <w:noWrap/>
            <w:vAlign w:val="bottom"/>
            <w:hideMark/>
          </w:tcPr>
          <w:p w14:paraId="3B83562C" w14:textId="77777777" w:rsidR="00F130EF" w:rsidRPr="00F130EF" w:rsidRDefault="00F130EF" w:rsidP="00F130EF">
            <w:pPr>
              <w:rPr>
                <w:lang w:val="en-US"/>
              </w:rPr>
            </w:pPr>
            <w:r w:rsidRPr="00F130EF">
              <w:rPr>
                <w:lang w:val="en-US"/>
              </w:rPr>
              <w:t>Both</w:t>
            </w:r>
          </w:p>
        </w:tc>
        <w:tc>
          <w:tcPr>
            <w:tcW w:w="1170" w:type="dxa"/>
            <w:shd w:val="clear" w:color="auto" w:fill="auto"/>
            <w:noWrap/>
            <w:vAlign w:val="bottom"/>
            <w:hideMark/>
          </w:tcPr>
          <w:p w14:paraId="388DB85E"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2FE6B495" w14:textId="77777777" w:rsidR="00F130EF" w:rsidRPr="00F130EF" w:rsidRDefault="00F130EF" w:rsidP="00F130EF">
            <w:pPr>
              <w:rPr>
                <w:lang w:val="en-US"/>
              </w:rPr>
            </w:pPr>
            <w:r w:rsidRPr="00F130EF">
              <w:rPr>
                <w:lang w:val="en-US"/>
              </w:rPr>
              <w:t>0 (0)</w:t>
            </w:r>
          </w:p>
        </w:tc>
        <w:tc>
          <w:tcPr>
            <w:tcW w:w="1400" w:type="dxa"/>
            <w:shd w:val="clear" w:color="auto" w:fill="auto"/>
            <w:noWrap/>
            <w:vAlign w:val="bottom"/>
            <w:hideMark/>
          </w:tcPr>
          <w:p w14:paraId="40AA8814" w14:textId="77777777" w:rsidR="00F130EF" w:rsidRPr="00F130EF" w:rsidRDefault="00F130EF" w:rsidP="00F130EF">
            <w:pPr>
              <w:rPr>
                <w:lang w:val="en-US"/>
              </w:rPr>
            </w:pPr>
            <w:r w:rsidRPr="00F130EF">
              <w:rPr>
                <w:lang w:val="en-US"/>
              </w:rPr>
              <w:t>1 (6.7)</w:t>
            </w:r>
          </w:p>
        </w:tc>
        <w:tc>
          <w:tcPr>
            <w:tcW w:w="1165" w:type="dxa"/>
            <w:shd w:val="clear" w:color="auto" w:fill="auto"/>
            <w:noWrap/>
            <w:vAlign w:val="bottom"/>
            <w:hideMark/>
          </w:tcPr>
          <w:p w14:paraId="693339D6" w14:textId="77777777" w:rsidR="00F130EF" w:rsidRPr="00F130EF" w:rsidRDefault="00F130EF" w:rsidP="00F130EF">
            <w:pPr>
              <w:rPr>
                <w:lang w:val="en-US"/>
              </w:rPr>
            </w:pPr>
          </w:p>
        </w:tc>
      </w:tr>
    </w:tbl>
    <w:p w14:paraId="3231934D" w14:textId="77777777" w:rsidR="00F130EF" w:rsidRDefault="00F130EF" w:rsidP="00F130EF">
      <w:pPr>
        <w:rPr>
          <w:lang w:val="en-US"/>
        </w:rPr>
      </w:pPr>
    </w:p>
    <w:p w14:paraId="0010056C" w14:textId="3D6F641E" w:rsidR="00F130EF" w:rsidRPr="00F130EF" w:rsidRDefault="00F130EF" w:rsidP="00F130EF">
      <w:pPr>
        <w:rPr>
          <w:lang w:val="en-US"/>
        </w:rPr>
      </w:pPr>
      <w:r w:rsidRPr="00F130EF">
        <w:rPr>
          <w:lang w:val="en-US"/>
        </w:rPr>
        <w:t>Table (</w:t>
      </w:r>
      <w:r>
        <w:rPr>
          <w:lang w:val="en-US"/>
        </w:rPr>
        <w:t>4</w:t>
      </w:r>
      <w:r w:rsidRPr="00F130EF">
        <w:rPr>
          <w:lang w:val="en-US"/>
        </w:rPr>
        <w:t>) Predominant pathogen in the studied groups</w:t>
      </w:r>
    </w:p>
    <w:tbl>
      <w:tblPr>
        <w:tblW w:w="8495" w:type="dxa"/>
        <w:tblBorders>
          <w:top w:val="single" w:sz="12" w:space="0" w:color="auto"/>
          <w:bottom w:val="single" w:sz="12" w:space="0" w:color="auto"/>
        </w:tblBorders>
        <w:tblLook w:val="04A0" w:firstRow="1" w:lastRow="0" w:firstColumn="1" w:lastColumn="0" w:noHBand="0" w:noVBand="1"/>
      </w:tblPr>
      <w:tblGrid>
        <w:gridCol w:w="3150"/>
        <w:gridCol w:w="1280"/>
        <w:gridCol w:w="1500"/>
        <w:gridCol w:w="1400"/>
        <w:gridCol w:w="1165"/>
      </w:tblGrid>
      <w:tr w:rsidR="00F130EF" w:rsidRPr="00F130EF" w14:paraId="3585C7F6" w14:textId="77777777" w:rsidTr="00A27E1C">
        <w:trPr>
          <w:trHeight w:val="290"/>
        </w:trPr>
        <w:tc>
          <w:tcPr>
            <w:tcW w:w="3150" w:type="dxa"/>
            <w:tcBorders>
              <w:top w:val="single" w:sz="12" w:space="0" w:color="auto"/>
              <w:bottom w:val="single" w:sz="12" w:space="0" w:color="auto"/>
            </w:tcBorders>
            <w:shd w:val="clear" w:color="auto" w:fill="F2F2F2" w:themeFill="background1" w:themeFillShade="F2"/>
            <w:noWrap/>
            <w:vAlign w:val="bottom"/>
            <w:hideMark/>
          </w:tcPr>
          <w:p w14:paraId="01ACAC26" w14:textId="77777777" w:rsidR="00F130EF" w:rsidRPr="00F130EF" w:rsidRDefault="00F130EF" w:rsidP="00F130EF">
            <w:pPr>
              <w:rPr>
                <w:lang w:val="en-US"/>
              </w:rPr>
            </w:pPr>
          </w:p>
        </w:tc>
        <w:tc>
          <w:tcPr>
            <w:tcW w:w="1280" w:type="dxa"/>
            <w:tcBorders>
              <w:top w:val="single" w:sz="12" w:space="0" w:color="auto"/>
              <w:bottom w:val="single" w:sz="12" w:space="0" w:color="auto"/>
            </w:tcBorders>
            <w:shd w:val="clear" w:color="auto" w:fill="F2F2F2" w:themeFill="background1" w:themeFillShade="F2"/>
            <w:noWrap/>
            <w:vAlign w:val="bottom"/>
            <w:hideMark/>
          </w:tcPr>
          <w:p w14:paraId="5854CBDA"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481D4B79" w14:textId="77777777" w:rsidR="00F130EF" w:rsidRPr="00F130EF" w:rsidRDefault="00F130EF" w:rsidP="00F130EF">
            <w:pPr>
              <w:rPr>
                <w:lang w:val="en-US"/>
              </w:rPr>
            </w:pPr>
            <w:r w:rsidRPr="00F130EF">
              <w:rPr>
                <w:lang w:val="en-US"/>
              </w:rPr>
              <w:t>Group A</w:t>
            </w:r>
          </w:p>
          <w:p w14:paraId="26E52A17"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408C729F" w14:textId="77777777" w:rsidR="00F130EF" w:rsidRPr="00F130EF" w:rsidRDefault="00F130EF" w:rsidP="00F130EF">
            <w:pPr>
              <w:rPr>
                <w:lang w:val="en-US"/>
              </w:rPr>
            </w:pPr>
            <w:r w:rsidRPr="00F130EF">
              <w:rPr>
                <w:lang w:val="en-US"/>
              </w:rPr>
              <w:t>Group B</w:t>
            </w:r>
          </w:p>
          <w:p w14:paraId="6716156D"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5540E45E" w14:textId="77777777" w:rsidR="00F130EF" w:rsidRPr="00F130EF" w:rsidRDefault="00F130EF" w:rsidP="00F130EF">
            <w:pPr>
              <w:rPr>
                <w:lang w:val="en-US"/>
              </w:rPr>
            </w:pPr>
            <w:r w:rsidRPr="00F130EF">
              <w:rPr>
                <w:lang w:val="en-US"/>
              </w:rPr>
              <w:t>P-value</w:t>
            </w:r>
          </w:p>
        </w:tc>
      </w:tr>
      <w:tr w:rsidR="00F130EF" w:rsidRPr="00F130EF" w14:paraId="7EDD8423" w14:textId="77777777" w:rsidTr="00A27E1C">
        <w:trPr>
          <w:trHeight w:val="290"/>
        </w:trPr>
        <w:tc>
          <w:tcPr>
            <w:tcW w:w="3150" w:type="dxa"/>
            <w:shd w:val="clear" w:color="auto" w:fill="auto"/>
            <w:noWrap/>
            <w:vAlign w:val="bottom"/>
            <w:hideMark/>
          </w:tcPr>
          <w:p w14:paraId="6854EBBA" w14:textId="77777777" w:rsidR="00F130EF" w:rsidRPr="00F130EF" w:rsidRDefault="00F130EF" w:rsidP="00F130EF">
            <w:pPr>
              <w:rPr>
                <w:lang w:val="en-US"/>
              </w:rPr>
            </w:pPr>
            <w:r w:rsidRPr="00F130EF">
              <w:rPr>
                <w:lang w:val="en-US"/>
              </w:rPr>
              <w:t>Predominant pathogen</w:t>
            </w:r>
          </w:p>
        </w:tc>
        <w:tc>
          <w:tcPr>
            <w:tcW w:w="1280" w:type="dxa"/>
            <w:shd w:val="clear" w:color="auto" w:fill="auto"/>
            <w:noWrap/>
            <w:vAlign w:val="bottom"/>
            <w:hideMark/>
          </w:tcPr>
          <w:p w14:paraId="1CE423BA" w14:textId="77777777" w:rsidR="00F130EF" w:rsidRPr="00F130EF" w:rsidRDefault="00F130EF" w:rsidP="00F130EF">
            <w:pPr>
              <w:rPr>
                <w:lang w:val="en-US"/>
              </w:rPr>
            </w:pPr>
          </w:p>
        </w:tc>
        <w:tc>
          <w:tcPr>
            <w:tcW w:w="1500" w:type="dxa"/>
            <w:shd w:val="clear" w:color="auto" w:fill="auto"/>
            <w:noWrap/>
            <w:vAlign w:val="bottom"/>
            <w:hideMark/>
          </w:tcPr>
          <w:p w14:paraId="773B5249" w14:textId="77777777" w:rsidR="00F130EF" w:rsidRPr="00F130EF" w:rsidRDefault="00F130EF" w:rsidP="00F130EF">
            <w:pPr>
              <w:rPr>
                <w:lang w:val="en-US"/>
              </w:rPr>
            </w:pPr>
          </w:p>
        </w:tc>
        <w:tc>
          <w:tcPr>
            <w:tcW w:w="1400" w:type="dxa"/>
            <w:shd w:val="clear" w:color="auto" w:fill="auto"/>
            <w:noWrap/>
            <w:vAlign w:val="bottom"/>
            <w:hideMark/>
          </w:tcPr>
          <w:p w14:paraId="39D0B1CE" w14:textId="77777777" w:rsidR="00F130EF" w:rsidRPr="00F130EF" w:rsidRDefault="00F130EF" w:rsidP="00F130EF">
            <w:pPr>
              <w:rPr>
                <w:lang w:val="en-US"/>
              </w:rPr>
            </w:pPr>
          </w:p>
        </w:tc>
        <w:tc>
          <w:tcPr>
            <w:tcW w:w="1165" w:type="dxa"/>
            <w:shd w:val="clear" w:color="auto" w:fill="auto"/>
            <w:noWrap/>
            <w:vAlign w:val="bottom"/>
            <w:hideMark/>
          </w:tcPr>
          <w:p w14:paraId="16420C46" w14:textId="77777777" w:rsidR="00F130EF" w:rsidRPr="00F130EF" w:rsidRDefault="00F130EF" w:rsidP="00F130EF">
            <w:pPr>
              <w:rPr>
                <w:lang w:val="en-US"/>
              </w:rPr>
            </w:pPr>
          </w:p>
        </w:tc>
      </w:tr>
      <w:tr w:rsidR="00F130EF" w:rsidRPr="00F130EF" w14:paraId="6C9F5032" w14:textId="77777777" w:rsidTr="00A27E1C">
        <w:trPr>
          <w:trHeight w:val="290"/>
        </w:trPr>
        <w:tc>
          <w:tcPr>
            <w:tcW w:w="3150" w:type="dxa"/>
            <w:shd w:val="clear" w:color="auto" w:fill="auto"/>
            <w:noWrap/>
            <w:vAlign w:val="bottom"/>
            <w:hideMark/>
          </w:tcPr>
          <w:p w14:paraId="13232116" w14:textId="77777777" w:rsidR="00F130EF" w:rsidRPr="00F130EF" w:rsidRDefault="00F130EF" w:rsidP="00F130EF">
            <w:pPr>
              <w:rPr>
                <w:lang w:val="en-US"/>
              </w:rPr>
            </w:pPr>
            <w:r w:rsidRPr="00F130EF">
              <w:rPr>
                <w:lang w:val="en-US"/>
              </w:rPr>
              <w:t xml:space="preserve">Staph </w:t>
            </w:r>
            <w:bookmarkStart w:id="2" w:name="OLE_LINK30"/>
            <w:r w:rsidRPr="00F130EF">
              <w:rPr>
                <w:lang w:val="en-US"/>
              </w:rPr>
              <w:t>aureus</w:t>
            </w:r>
            <w:bookmarkEnd w:id="2"/>
          </w:p>
        </w:tc>
        <w:tc>
          <w:tcPr>
            <w:tcW w:w="1280" w:type="dxa"/>
            <w:shd w:val="clear" w:color="auto" w:fill="auto"/>
            <w:noWrap/>
            <w:vAlign w:val="bottom"/>
            <w:hideMark/>
          </w:tcPr>
          <w:p w14:paraId="45B911E6"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67F07447" w14:textId="77777777" w:rsidR="00F130EF" w:rsidRPr="00F130EF" w:rsidRDefault="00F130EF" w:rsidP="00F130EF">
            <w:pPr>
              <w:rPr>
                <w:lang w:val="en-US"/>
              </w:rPr>
            </w:pPr>
            <w:r w:rsidRPr="00F130EF">
              <w:rPr>
                <w:lang w:val="en-US"/>
              </w:rPr>
              <w:t>6 (40)</w:t>
            </w:r>
          </w:p>
        </w:tc>
        <w:tc>
          <w:tcPr>
            <w:tcW w:w="1400" w:type="dxa"/>
            <w:shd w:val="clear" w:color="auto" w:fill="auto"/>
            <w:noWrap/>
            <w:vAlign w:val="bottom"/>
            <w:hideMark/>
          </w:tcPr>
          <w:p w14:paraId="0EA9ABD3" w14:textId="77777777" w:rsidR="00F130EF" w:rsidRPr="00F130EF" w:rsidRDefault="00F130EF" w:rsidP="00F130EF">
            <w:pPr>
              <w:rPr>
                <w:lang w:val="en-US"/>
              </w:rPr>
            </w:pPr>
            <w:r w:rsidRPr="00F130EF">
              <w:rPr>
                <w:lang w:val="en-US"/>
              </w:rPr>
              <w:t>5 (33.3)</w:t>
            </w:r>
          </w:p>
        </w:tc>
        <w:tc>
          <w:tcPr>
            <w:tcW w:w="1165" w:type="dxa"/>
            <w:shd w:val="clear" w:color="auto" w:fill="auto"/>
            <w:noWrap/>
            <w:vAlign w:val="bottom"/>
            <w:hideMark/>
          </w:tcPr>
          <w:p w14:paraId="1E3183F0" w14:textId="77777777" w:rsidR="00F130EF" w:rsidRPr="00F130EF" w:rsidRDefault="00F130EF" w:rsidP="00F130EF">
            <w:pPr>
              <w:rPr>
                <w:lang w:val="en-US"/>
              </w:rPr>
            </w:pPr>
            <w:r w:rsidRPr="00F130EF">
              <w:rPr>
                <w:lang w:val="en-US"/>
              </w:rPr>
              <w:t>0.970</w:t>
            </w:r>
          </w:p>
        </w:tc>
      </w:tr>
      <w:tr w:rsidR="00F130EF" w:rsidRPr="00F130EF" w14:paraId="07C90FB0" w14:textId="77777777" w:rsidTr="00A27E1C">
        <w:trPr>
          <w:trHeight w:val="290"/>
        </w:trPr>
        <w:tc>
          <w:tcPr>
            <w:tcW w:w="3150" w:type="dxa"/>
            <w:shd w:val="clear" w:color="auto" w:fill="auto"/>
            <w:noWrap/>
            <w:vAlign w:val="bottom"/>
            <w:hideMark/>
          </w:tcPr>
          <w:p w14:paraId="36D48F57" w14:textId="77777777" w:rsidR="00F130EF" w:rsidRPr="00F130EF" w:rsidRDefault="00F130EF" w:rsidP="00F130EF">
            <w:pPr>
              <w:rPr>
                <w:lang w:val="en-US"/>
              </w:rPr>
            </w:pPr>
            <w:r w:rsidRPr="00F130EF">
              <w:rPr>
                <w:lang w:val="en-US"/>
              </w:rPr>
              <w:t>Staph epidermidus</w:t>
            </w:r>
          </w:p>
        </w:tc>
        <w:tc>
          <w:tcPr>
            <w:tcW w:w="1280" w:type="dxa"/>
            <w:shd w:val="clear" w:color="auto" w:fill="auto"/>
            <w:noWrap/>
            <w:vAlign w:val="bottom"/>
            <w:hideMark/>
          </w:tcPr>
          <w:p w14:paraId="138BDC24"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77891B41" w14:textId="77777777" w:rsidR="00F130EF" w:rsidRPr="00F130EF" w:rsidRDefault="00F130EF" w:rsidP="00F130EF">
            <w:pPr>
              <w:rPr>
                <w:lang w:val="en-US"/>
              </w:rPr>
            </w:pPr>
            <w:r w:rsidRPr="00F130EF">
              <w:rPr>
                <w:lang w:val="en-US"/>
              </w:rPr>
              <w:t>2 (13.3)</w:t>
            </w:r>
          </w:p>
        </w:tc>
        <w:tc>
          <w:tcPr>
            <w:tcW w:w="1400" w:type="dxa"/>
            <w:shd w:val="clear" w:color="auto" w:fill="auto"/>
            <w:noWrap/>
            <w:vAlign w:val="bottom"/>
            <w:hideMark/>
          </w:tcPr>
          <w:p w14:paraId="61E78612" w14:textId="77777777" w:rsidR="00F130EF" w:rsidRPr="00F130EF" w:rsidRDefault="00F130EF" w:rsidP="00F130EF">
            <w:pPr>
              <w:rPr>
                <w:lang w:val="en-US"/>
              </w:rPr>
            </w:pPr>
            <w:r w:rsidRPr="00F130EF">
              <w:rPr>
                <w:lang w:val="en-US"/>
              </w:rPr>
              <w:t>2 (13.3)</w:t>
            </w:r>
          </w:p>
        </w:tc>
        <w:tc>
          <w:tcPr>
            <w:tcW w:w="1165" w:type="dxa"/>
            <w:shd w:val="clear" w:color="auto" w:fill="auto"/>
            <w:noWrap/>
            <w:vAlign w:val="bottom"/>
            <w:hideMark/>
          </w:tcPr>
          <w:p w14:paraId="0A0F4B51" w14:textId="77777777" w:rsidR="00F130EF" w:rsidRPr="00F130EF" w:rsidRDefault="00F130EF" w:rsidP="00F130EF">
            <w:pPr>
              <w:rPr>
                <w:lang w:val="en-US"/>
              </w:rPr>
            </w:pPr>
          </w:p>
        </w:tc>
      </w:tr>
      <w:tr w:rsidR="00F130EF" w:rsidRPr="00F130EF" w14:paraId="5F425B32" w14:textId="77777777" w:rsidTr="00A27E1C">
        <w:trPr>
          <w:trHeight w:val="290"/>
        </w:trPr>
        <w:tc>
          <w:tcPr>
            <w:tcW w:w="3150" w:type="dxa"/>
            <w:shd w:val="clear" w:color="auto" w:fill="auto"/>
            <w:noWrap/>
            <w:vAlign w:val="bottom"/>
            <w:hideMark/>
          </w:tcPr>
          <w:p w14:paraId="476B7B53" w14:textId="77777777" w:rsidR="00F130EF" w:rsidRPr="00F130EF" w:rsidRDefault="00F130EF" w:rsidP="00F130EF">
            <w:pPr>
              <w:rPr>
                <w:lang w:val="en-US"/>
              </w:rPr>
            </w:pPr>
            <w:r w:rsidRPr="00F130EF">
              <w:rPr>
                <w:lang w:val="en-US"/>
              </w:rPr>
              <w:t xml:space="preserve">Pseudomonas </w:t>
            </w:r>
            <w:bookmarkStart w:id="3" w:name="OLE_LINK21"/>
            <w:r w:rsidRPr="00F130EF">
              <w:rPr>
                <w:lang w:val="en-US"/>
              </w:rPr>
              <w:t>aeruginosa</w:t>
            </w:r>
            <w:bookmarkEnd w:id="3"/>
          </w:p>
        </w:tc>
        <w:tc>
          <w:tcPr>
            <w:tcW w:w="1280" w:type="dxa"/>
            <w:shd w:val="clear" w:color="auto" w:fill="auto"/>
            <w:noWrap/>
            <w:vAlign w:val="bottom"/>
            <w:hideMark/>
          </w:tcPr>
          <w:p w14:paraId="0166F553"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65DE2048" w14:textId="77777777" w:rsidR="00F130EF" w:rsidRPr="00F130EF" w:rsidRDefault="00F130EF" w:rsidP="00F130EF">
            <w:pPr>
              <w:rPr>
                <w:lang w:val="en-US"/>
              </w:rPr>
            </w:pPr>
            <w:r w:rsidRPr="00F130EF">
              <w:rPr>
                <w:lang w:val="en-US"/>
              </w:rPr>
              <w:t>1 (6.7)</w:t>
            </w:r>
          </w:p>
        </w:tc>
        <w:tc>
          <w:tcPr>
            <w:tcW w:w="1400" w:type="dxa"/>
            <w:shd w:val="clear" w:color="auto" w:fill="auto"/>
            <w:noWrap/>
            <w:vAlign w:val="bottom"/>
            <w:hideMark/>
          </w:tcPr>
          <w:p w14:paraId="15894DAA" w14:textId="77777777" w:rsidR="00F130EF" w:rsidRPr="00F130EF" w:rsidRDefault="00F130EF" w:rsidP="00F130EF">
            <w:pPr>
              <w:rPr>
                <w:lang w:val="en-US"/>
              </w:rPr>
            </w:pPr>
            <w:r w:rsidRPr="00F130EF">
              <w:rPr>
                <w:lang w:val="en-US"/>
              </w:rPr>
              <w:t>1 (6.7)</w:t>
            </w:r>
          </w:p>
        </w:tc>
        <w:tc>
          <w:tcPr>
            <w:tcW w:w="1165" w:type="dxa"/>
            <w:shd w:val="clear" w:color="auto" w:fill="auto"/>
            <w:noWrap/>
            <w:vAlign w:val="bottom"/>
            <w:hideMark/>
          </w:tcPr>
          <w:p w14:paraId="4F753A17" w14:textId="77777777" w:rsidR="00F130EF" w:rsidRPr="00F130EF" w:rsidRDefault="00F130EF" w:rsidP="00F130EF">
            <w:pPr>
              <w:rPr>
                <w:lang w:val="en-US"/>
              </w:rPr>
            </w:pPr>
          </w:p>
        </w:tc>
      </w:tr>
      <w:tr w:rsidR="00F130EF" w:rsidRPr="00F130EF" w14:paraId="7292D4F3" w14:textId="77777777" w:rsidTr="00A27E1C">
        <w:trPr>
          <w:trHeight w:val="290"/>
        </w:trPr>
        <w:tc>
          <w:tcPr>
            <w:tcW w:w="3150" w:type="dxa"/>
            <w:shd w:val="clear" w:color="auto" w:fill="auto"/>
            <w:noWrap/>
            <w:vAlign w:val="bottom"/>
            <w:hideMark/>
          </w:tcPr>
          <w:p w14:paraId="0FB17B03" w14:textId="77777777" w:rsidR="00F130EF" w:rsidRPr="00F130EF" w:rsidRDefault="00F130EF" w:rsidP="00F130EF">
            <w:pPr>
              <w:rPr>
                <w:lang w:val="en-US"/>
              </w:rPr>
            </w:pPr>
            <w:r w:rsidRPr="00F130EF">
              <w:rPr>
                <w:lang w:val="en-US"/>
              </w:rPr>
              <w:t xml:space="preserve">Mycobacterium </w:t>
            </w:r>
            <w:bookmarkStart w:id="4" w:name="OLE_LINK22"/>
            <w:r w:rsidRPr="00F130EF">
              <w:rPr>
                <w:lang w:val="en-US"/>
              </w:rPr>
              <w:t>tuberculosis</w:t>
            </w:r>
            <w:bookmarkEnd w:id="4"/>
          </w:p>
        </w:tc>
        <w:tc>
          <w:tcPr>
            <w:tcW w:w="1280" w:type="dxa"/>
            <w:shd w:val="clear" w:color="auto" w:fill="auto"/>
            <w:noWrap/>
            <w:vAlign w:val="bottom"/>
            <w:hideMark/>
          </w:tcPr>
          <w:p w14:paraId="26C8E082"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03599A78" w14:textId="77777777" w:rsidR="00F130EF" w:rsidRPr="00F130EF" w:rsidRDefault="00F130EF" w:rsidP="00F130EF">
            <w:pPr>
              <w:rPr>
                <w:lang w:val="en-US"/>
              </w:rPr>
            </w:pPr>
            <w:r w:rsidRPr="00F130EF">
              <w:rPr>
                <w:lang w:val="en-US"/>
              </w:rPr>
              <w:t>1 (6.7)</w:t>
            </w:r>
          </w:p>
        </w:tc>
        <w:tc>
          <w:tcPr>
            <w:tcW w:w="1400" w:type="dxa"/>
            <w:shd w:val="clear" w:color="auto" w:fill="auto"/>
            <w:noWrap/>
            <w:vAlign w:val="bottom"/>
            <w:hideMark/>
          </w:tcPr>
          <w:p w14:paraId="1F87ACC3" w14:textId="77777777" w:rsidR="00F130EF" w:rsidRPr="00F130EF" w:rsidRDefault="00F130EF" w:rsidP="00F130EF">
            <w:pPr>
              <w:rPr>
                <w:lang w:val="en-US"/>
              </w:rPr>
            </w:pPr>
            <w:r w:rsidRPr="00F130EF">
              <w:rPr>
                <w:lang w:val="en-US"/>
              </w:rPr>
              <w:t>3 (20)</w:t>
            </w:r>
          </w:p>
        </w:tc>
        <w:tc>
          <w:tcPr>
            <w:tcW w:w="1165" w:type="dxa"/>
            <w:shd w:val="clear" w:color="auto" w:fill="auto"/>
            <w:noWrap/>
            <w:vAlign w:val="bottom"/>
            <w:hideMark/>
          </w:tcPr>
          <w:p w14:paraId="32FB6D0A" w14:textId="77777777" w:rsidR="00F130EF" w:rsidRPr="00F130EF" w:rsidRDefault="00F130EF" w:rsidP="00F130EF">
            <w:pPr>
              <w:rPr>
                <w:lang w:val="en-US"/>
              </w:rPr>
            </w:pPr>
          </w:p>
        </w:tc>
      </w:tr>
      <w:tr w:rsidR="00F130EF" w:rsidRPr="00F130EF" w14:paraId="381C4935" w14:textId="77777777" w:rsidTr="00A27E1C">
        <w:trPr>
          <w:trHeight w:val="290"/>
        </w:trPr>
        <w:tc>
          <w:tcPr>
            <w:tcW w:w="3150" w:type="dxa"/>
            <w:shd w:val="clear" w:color="auto" w:fill="auto"/>
            <w:noWrap/>
            <w:vAlign w:val="bottom"/>
            <w:hideMark/>
          </w:tcPr>
          <w:p w14:paraId="06005096" w14:textId="77777777" w:rsidR="00F130EF" w:rsidRPr="00F130EF" w:rsidRDefault="00F130EF" w:rsidP="00F130EF">
            <w:pPr>
              <w:rPr>
                <w:lang w:val="en-US"/>
              </w:rPr>
            </w:pPr>
            <w:r w:rsidRPr="00F130EF">
              <w:rPr>
                <w:lang w:val="en-US"/>
              </w:rPr>
              <w:t>Brucella</w:t>
            </w:r>
          </w:p>
        </w:tc>
        <w:tc>
          <w:tcPr>
            <w:tcW w:w="1280" w:type="dxa"/>
            <w:shd w:val="clear" w:color="auto" w:fill="auto"/>
            <w:noWrap/>
            <w:vAlign w:val="bottom"/>
            <w:hideMark/>
          </w:tcPr>
          <w:p w14:paraId="552049F5"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52C21013" w14:textId="77777777" w:rsidR="00F130EF" w:rsidRPr="00F130EF" w:rsidRDefault="00F130EF" w:rsidP="00F130EF">
            <w:pPr>
              <w:rPr>
                <w:lang w:val="en-US"/>
              </w:rPr>
            </w:pPr>
            <w:r w:rsidRPr="00F130EF">
              <w:rPr>
                <w:lang w:val="en-US"/>
              </w:rPr>
              <w:t>1 (6.7)</w:t>
            </w:r>
          </w:p>
        </w:tc>
        <w:tc>
          <w:tcPr>
            <w:tcW w:w="1400" w:type="dxa"/>
            <w:shd w:val="clear" w:color="auto" w:fill="auto"/>
            <w:noWrap/>
            <w:vAlign w:val="bottom"/>
            <w:hideMark/>
          </w:tcPr>
          <w:p w14:paraId="79EF7B18" w14:textId="77777777" w:rsidR="00F130EF" w:rsidRPr="00F130EF" w:rsidRDefault="00F130EF" w:rsidP="00F130EF">
            <w:pPr>
              <w:rPr>
                <w:lang w:val="en-US"/>
              </w:rPr>
            </w:pPr>
            <w:r w:rsidRPr="00F130EF">
              <w:rPr>
                <w:lang w:val="en-US"/>
              </w:rPr>
              <w:t>1 (6.7)</w:t>
            </w:r>
          </w:p>
        </w:tc>
        <w:tc>
          <w:tcPr>
            <w:tcW w:w="1165" w:type="dxa"/>
            <w:shd w:val="clear" w:color="auto" w:fill="auto"/>
            <w:noWrap/>
            <w:vAlign w:val="bottom"/>
            <w:hideMark/>
          </w:tcPr>
          <w:p w14:paraId="735251E2" w14:textId="77777777" w:rsidR="00F130EF" w:rsidRPr="00F130EF" w:rsidRDefault="00F130EF" w:rsidP="00F130EF">
            <w:pPr>
              <w:rPr>
                <w:lang w:val="en-US"/>
              </w:rPr>
            </w:pPr>
          </w:p>
        </w:tc>
      </w:tr>
      <w:tr w:rsidR="00F130EF" w:rsidRPr="00F130EF" w14:paraId="2BB36B56" w14:textId="77777777" w:rsidTr="00A27E1C">
        <w:trPr>
          <w:trHeight w:val="290"/>
        </w:trPr>
        <w:tc>
          <w:tcPr>
            <w:tcW w:w="3150" w:type="dxa"/>
            <w:shd w:val="clear" w:color="auto" w:fill="auto"/>
            <w:noWrap/>
            <w:vAlign w:val="bottom"/>
            <w:hideMark/>
          </w:tcPr>
          <w:p w14:paraId="303144B5" w14:textId="77777777" w:rsidR="00F130EF" w:rsidRPr="00F130EF" w:rsidRDefault="00F130EF" w:rsidP="00F130EF">
            <w:pPr>
              <w:rPr>
                <w:lang w:val="en-US"/>
              </w:rPr>
            </w:pPr>
            <w:r w:rsidRPr="00F130EF">
              <w:rPr>
                <w:lang w:val="en-US"/>
              </w:rPr>
              <w:t>No agent identified</w:t>
            </w:r>
          </w:p>
        </w:tc>
        <w:tc>
          <w:tcPr>
            <w:tcW w:w="1280" w:type="dxa"/>
            <w:shd w:val="clear" w:color="auto" w:fill="auto"/>
            <w:noWrap/>
            <w:vAlign w:val="bottom"/>
            <w:hideMark/>
          </w:tcPr>
          <w:p w14:paraId="6D258E0C"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54C74856" w14:textId="77777777" w:rsidR="00F130EF" w:rsidRPr="00F130EF" w:rsidRDefault="00F130EF" w:rsidP="00F130EF">
            <w:pPr>
              <w:rPr>
                <w:lang w:val="en-US"/>
              </w:rPr>
            </w:pPr>
            <w:r w:rsidRPr="00F130EF">
              <w:rPr>
                <w:lang w:val="en-US"/>
              </w:rPr>
              <w:t>4 (26.7)</w:t>
            </w:r>
          </w:p>
        </w:tc>
        <w:tc>
          <w:tcPr>
            <w:tcW w:w="1400" w:type="dxa"/>
            <w:shd w:val="clear" w:color="auto" w:fill="auto"/>
            <w:noWrap/>
            <w:vAlign w:val="bottom"/>
            <w:hideMark/>
          </w:tcPr>
          <w:p w14:paraId="7C2EED52" w14:textId="77777777" w:rsidR="00F130EF" w:rsidRPr="00F130EF" w:rsidRDefault="00F130EF" w:rsidP="00F130EF">
            <w:pPr>
              <w:rPr>
                <w:lang w:val="en-US"/>
              </w:rPr>
            </w:pPr>
            <w:r w:rsidRPr="00F130EF">
              <w:rPr>
                <w:lang w:val="en-US"/>
              </w:rPr>
              <w:t>3 (20)</w:t>
            </w:r>
          </w:p>
        </w:tc>
        <w:tc>
          <w:tcPr>
            <w:tcW w:w="1165" w:type="dxa"/>
            <w:shd w:val="clear" w:color="auto" w:fill="auto"/>
            <w:noWrap/>
            <w:vAlign w:val="bottom"/>
            <w:hideMark/>
          </w:tcPr>
          <w:p w14:paraId="2F535A14" w14:textId="77777777" w:rsidR="00F130EF" w:rsidRPr="00F130EF" w:rsidRDefault="00F130EF" w:rsidP="00F130EF">
            <w:pPr>
              <w:rPr>
                <w:lang w:val="en-US"/>
              </w:rPr>
            </w:pPr>
          </w:p>
        </w:tc>
      </w:tr>
    </w:tbl>
    <w:p w14:paraId="1D299351" w14:textId="77777777" w:rsidR="00F130EF" w:rsidRPr="00F130EF" w:rsidRDefault="00F130EF" w:rsidP="00F130EF">
      <w:pPr>
        <w:rPr>
          <w:lang w:val="en-US"/>
        </w:rPr>
      </w:pPr>
    </w:p>
    <w:p w14:paraId="3037555F" w14:textId="616FEE66" w:rsidR="00F130EF" w:rsidRPr="00F130EF" w:rsidRDefault="00F130EF" w:rsidP="00F130EF">
      <w:pPr>
        <w:rPr>
          <w:lang w:val="en-US"/>
        </w:rPr>
      </w:pPr>
      <w:r w:rsidRPr="00F130EF">
        <w:rPr>
          <w:lang w:val="en-US"/>
        </w:rPr>
        <w:t>Table (</w:t>
      </w:r>
      <w:r>
        <w:rPr>
          <w:lang w:val="en-US"/>
        </w:rPr>
        <w:t>5</w:t>
      </w:r>
      <w:r w:rsidRPr="00F130EF">
        <w:rPr>
          <w:lang w:val="en-US"/>
        </w:rPr>
        <w:t xml:space="preserve">) Pre and postoperative VAS scores in the studied groups </w:t>
      </w:r>
    </w:p>
    <w:tbl>
      <w:tblPr>
        <w:tblW w:w="7775" w:type="dxa"/>
        <w:tblBorders>
          <w:top w:val="single" w:sz="12" w:space="0" w:color="auto"/>
          <w:bottom w:val="single" w:sz="12" w:space="0" w:color="auto"/>
        </w:tblBorders>
        <w:tblLook w:val="04A0" w:firstRow="1" w:lastRow="0" w:firstColumn="1" w:lastColumn="0" w:noHBand="0" w:noVBand="1"/>
      </w:tblPr>
      <w:tblGrid>
        <w:gridCol w:w="1710"/>
        <w:gridCol w:w="2000"/>
        <w:gridCol w:w="1500"/>
        <w:gridCol w:w="1400"/>
        <w:gridCol w:w="1165"/>
      </w:tblGrid>
      <w:tr w:rsidR="00F130EF" w:rsidRPr="00F130EF" w14:paraId="0B866611" w14:textId="77777777" w:rsidTr="00A27E1C">
        <w:trPr>
          <w:trHeight w:val="290"/>
        </w:trPr>
        <w:tc>
          <w:tcPr>
            <w:tcW w:w="1710" w:type="dxa"/>
            <w:tcBorders>
              <w:top w:val="single" w:sz="12" w:space="0" w:color="auto"/>
              <w:bottom w:val="single" w:sz="12" w:space="0" w:color="auto"/>
            </w:tcBorders>
            <w:shd w:val="clear" w:color="auto" w:fill="F2F2F2" w:themeFill="background1" w:themeFillShade="F2"/>
            <w:noWrap/>
            <w:vAlign w:val="bottom"/>
            <w:hideMark/>
          </w:tcPr>
          <w:p w14:paraId="55D2EAB0" w14:textId="77777777" w:rsidR="00F130EF" w:rsidRPr="00F130EF" w:rsidRDefault="00F130EF" w:rsidP="00F130EF">
            <w:pPr>
              <w:rPr>
                <w:lang w:val="en-US"/>
              </w:rPr>
            </w:pPr>
            <w:r w:rsidRPr="00F130EF">
              <w:rPr>
                <w:lang w:val="en-US"/>
              </w:rPr>
              <w:t>VAS score</w:t>
            </w:r>
          </w:p>
        </w:tc>
        <w:tc>
          <w:tcPr>
            <w:tcW w:w="2000" w:type="dxa"/>
            <w:tcBorders>
              <w:top w:val="single" w:sz="12" w:space="0" w:color="auto"/>
              <w:bottom w:val="single" w:sz="12" w:space="0" w:color="auto"/>
            </w:tcBorders>
            <w:shd w:val="clear" w:color="auto" w:fill="F2F2F2" w:themeFill="background1" w:themeFillShade="F2"/>
            <w:noWrap/>
            <w:vAlign w:val="bottom"/>
            <w:hideMark/>
          </w:tcPr>
          <w:p w14:paraId="17823F3A"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7AC04D03" w14:textId="77777777" w:rsidR="00F130EF" w:rsidRPr="00F130EF" w:rsidRDefault="00F130EF" w:rsidP="00F130EF">
            <w:pPr>
              <w:rPr>
                <w:lang w:val="en-US"/>
              </w:rPr>
            </w:pPr>
            <w:r w:rsidRPr="00F130EF">
              <w:rPr>
                <w:lang w:val="en-US"/>
              </w:rPr>
              <w:t>Group A</w:t>
            </w:r>
          </w:p>
          <w:p w14:paraId="3E576E17"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3B2747E4" w14:textId="77777777" w:rsidR="00F130EF" w:rsidRPr="00F130EF" w:rsidRDefault="00F130EF" w:rsidP="00F130EF">
            <w:pPr>
              <w:rPr>
                <w:lang w:val="en-US"/>
              </w:rPr>
            </w:pPr>
            <w:r w:rsidRPr="00F130EF">
              <w:rPr>
                <w:lang w:val="en-US"/>
              </w:rPr>
              <w:t>Group B</w:t>
            </w:r>
          </w:p>
          <w:p w14:paraId="6CFDC001"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5DBBDFD2" w14:textId="77777777" w:rsidR="00F130EF" w:rsidRPr="00F130EF" w:rsidRDefault="00F130EF" w:rsidP="00F130EF">
            <w:pPr>
              <w:rPr>
                <w:lang w:val="en-US"/>
              </w:rPr>
            </w:pPr>
            <w:r w:rsidRPr="00F130EF">
              <w:rPr>
                <w:lang w:val="en-US"/>
              </w:rPr>
              <w:t>P-value</w:t>
            </w:r>
          </w:p>
        </w:tc>
      </w:tr>
      <w:tr w:rsidR="00F130EF" w:rsidRPr="00F130EF" w14:paraId="1F92CB61" w14:textId="77777777" w:rsidTr="00A27E1C">
        <w:trPr>
          <w:trHeight w:val="290"/>
        </w:trPr>
        <w:tc>
          <w:tcPr>
            <w:tcW w:w="1710" w:type="dxa"/>
            <w:shd w:val="clear" w:color="auto" w:fill="auto"/>
            <w:noWrap/>
            <w:vAlign w:val="bottom"/>
            <w:hideMark/>
          </w:tcPr>
          <w:p w14:paraId="3E06476F" w14:textId="77777777" w:rsidR="00F130EF" w:rsidRPr="00F130EF" w:rsidRDefault="00F130EF" w:rsidP="00F130EF">
            <w:pPr>
              <w:rPr>
                <w:lang w:val="en-US"/>
              </w:rPr>
            </w:pPr>
            <w:r w:rsidRPr="00F130EF">
              <w:rPr>
                <w:lang w:val="en-US"/>
              </w:rPr>
              <w:t>Preoperative</w:t>
            </w:r>
          </w:p>
        </w:tc>
        <w:tc>
          <w:tcPr>
            <w:tcW w:w="2000" w:type="dxa"/>
            <w:shd w:val="clear" w:color="auto" w:fill="auto"/>
            <w:noWrap/>
            <w:vAlign w:val="bottom"/>
            <w:hideMark/>
          </w:tcPr>
          <w:p w14:paraId="11EF3C14"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21E07B12" w14:textId="77777777" w:rsidR="00F130EF" w:rsidRPr="00F130EF" w:rsidRDefault="00F130EF" w:rsidP="00F130EF">
            <w:pPr>
              <w:rPr>
                <w:lang w:val="en-US"/>
              </w:rPr>
            </w:pPr>
            <w:r w:rsidRPr="00F130EF">
              <w:rPr>
                <w:lang w:val="en-US"/>
              </w:rPr>
              <w:t>8 (7 - 10)</w:t>
            </w:r>
          </w:p>
        </w:tc>
        <w:tc>
          <w:tcPr>
            <w:tcW w:w="1400" w:type="dxa"/>
            <w:shd w:val="clear" w:color="auto" w:fill="auto"/>
            <w:noWrap/>
            <w:vAlign w:val="bottom"/>
            <w:hideMark/>
          </w:tcPr>
          <w:p w14:paraId="3BDE3708" w14:textId="77777777" w:rsidR="00F130EF" w:rsidRPr="00F130EF" w:rsidRDefault="00F130EF" w:rsidP="00F130EF">
            <w:pPr>
              <w:rPr>
                <w:lang w:val="en-US"/>
              </w:rPr>
            </w:pPr>
            <w:r w:rsidRPr="00F130EF">
              <w:rPr>
                <w:lang w:val="en-US"/>
              </w:rPr>
              <w:t>8 (6 - 10)</w:t>
            </w:r>
          </w:p>
        </w:tc>
        <w:tc>
          <w:tcPr>
            <w:tcW w:w="1165" w:type="dxa"/>
            <w:shd w:val="clear" w:color="auto" w:fill="auto"/>
            <w:noWrap/>
            <w:vAlign w:val="bottom"/>
            <w:hideMark/>
          </w:tcPr>
          <w:p w14:paraId="56F21169" w14:textId="77777777" w:rsidR="00F130EF" w:rsidRPr="00F130EF" w:rsidRDefault="00F130EF" w:rsidP="00F130EF">
            <w:pPr>
              <w:rPr>
                <w:lang w:val="en-US"/>
              </w:rPr>
            </w:pPr>
            <w:r w:rsidRPr="00F130EF">
              <w:rPr>
                <w:lang w:val="en-US"/>
              </w:rPr>
              <w:t>0.806</w:t>
            </w:r>
          </w:p>
        </w:tc>
      </w:tr>
      <w:tr w:rsidR="00F130EF" w:rsidRPr="00F130EF" w14:paraId="7594E427" w14:textId="77777777" w:rsidTr="00A27E1C">
        <w:trPr>
          <w:trHeight w:val="290"/>
        </w:trPr>
        <w:tc>
          <w:tcPr>
            <w:tcW w:w="1710" w:type="dxa"/>
            <w:shd w:val="clear" w:color="auto" w:fill="auto"/>
            <w:noWrap/>
            <w:vAlign w:val="bottom"/>
            <w:hideMark/>
          </w:tcPr>
          <w:p w14:paraId="5D9100BC" w14:textId="77777777" w:rsidR="00F130EF" w:rsidRPr="00F130EF" w:rsidRDefault="00F130EF" w:rsidP="00F130EF">
            <w:pPr>
              <w:rPr>
                <w:lang w:val="en-US"/>
              </w:rPr>
            </w:pPr>
            <w:r w:rsidRPr="00F130EF">
              <w:rPr>
                <w:lang w:val="en-US"/>
              </w:rPr>
              <w:t>Postoperative</w:t>
            </w:r>
          </w:p>
        </w:tc>
        <w:tc>
          <w:tcPr>
            <w:tcW w:w="2000" w:type="dxa"/>
            <w:shd w:val="clear" w:color="auto" w:fill="auto"/>
            <w:noWrap/>
            <w:vAlign w:val="bottom"/>
            <w:hideMark/>
          </w:tcPr>
          <w:p w14:paraId="1ED6047D"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1377013C" w14:textId="77777777" w:rsidR="00F130EF" w:rsidRPr="00F130EF" w:rsidRDefault="00F130EF" w:rsidP="00F130EF">
            <w:pPr>
              <w:rPr>
                <w:lang w:val="en-US"/>
              </w:rPr>
            </w:pPr>
            <w:r w:rsidRPr="00F130EF">
              <w:rPr>
                <w:lang w:val="en-US"/>
              </w:rPr>
              <w:t>3 (1 - 5)</w:t>
            </w:r>
          </w:p>
        </w:tc>
        <w:tc>
          <w:tcPr>
            <w:tcW w:w="1400" w:type="dxa"/>
            <w:shd w:val="clear" w:color="auto" w:fill="auto"/>
            <w:noWrap/>
            <w:vAlign w:val="bottom"/>
            <w:hideMark/>
          </w:tcPr>
          <w:p w14:paraId="57771BC2" w14:textId="77777777" w:rsidR="00F130EF" w:rsidRPr="00F130EF" w:rsidRDefault="00F130EF" w:rsidP="00F130EF">
            <w:pPr>
              <w:rPr>
                <w:lang w:val="en-US"/>
              </w:rPr>
            </w:pPr>
            <w:r w:rsidRPr="00F130EF">
              <w:rPr>
                <w:lang w:val="en-US"/>
              </w:rPr>
              <w:t>3 (1 - 6)</w:t>
            </w:r>
          </w:p>
        </w:tc>
        <w:tc>
          <w:tcPr>
            <w:tcW w:w="1165" w:type="dxa"/>
            <w:shd w:val="clear" w:color="auto" w:fill="auto"/>
            <w:noWrap/>
            <w:vAlign w:val="bottom"/>
            <w:hideMark/>
          </w:tcPr>
          <w:p w14:paraId="0F70CDD3" w14:textId="77777777" w:rsidR="00F130EF" w:rsidRPr="00F130EF" w:rsidRDefault="00F130EF" w:rsidP="00F130EF">
            <w:pPr>
              <w:rPr>
                <w:lang w:val="en-US"/>
              </w:rPr>
            </w:pPr>
            <w:r w:rsidRPr="00F130EF">
              <w:rPr>
                <w:lang w:val="en-US"/>
              </w:rPr>
              <w:t>0.325</w:t>
            </w:r>
          </w:p>
        </w:tc>
      </w:tr>
    </w:tbl>
    <w:p w14:paraId="3DDC0B79" w14:textId="1E19AEA0" w:rsidR="00F130EF" w:rsidRDefault="00F130EF" w:rsidP="00F130EF">
      <w:pPr>
        <w:rPr>
          <w:lang w:val="en-US"/>
        </w:rPr>
      </w:pPr>
      <w:r w:rsidRPr="00F130EF">
        <w:rPr>
          <w:lang w:val="en-US"/>
        </w:rPr>
        <w:lastRenderedPageBreak/>
        <w:t xml:space="preserve">VAS: Visual analogue scale </w:t>
      </w:r>
    </w:p>
    <w:p w14:paraId="5E7B2F16" w14:textId="6C305907" w:rsidR="00F130EF" w:rsidRPr="00F130EF" w:rsidRDefault="00F130EF" w:rsidP="00F130EF">
      <w:pPr>
        <w:rPr>
          <w:lang w:val="en-US"/>
        </w:rPr>
      </w:pPr>
      <w:r w:rsidRPr="00F130EF">
        <w:rPr>
          <w:lang w:val="en-US"/>
        </w:rPr>
        <w:t>Table (</w:t>
      </w:r>
      <w:r>
        <w:rPr>
          <w:lang w:val="en-US"/>
        </w:rPr>
        <w:t>6</w:t>
      </w:r>
      <w:r w:rsidRPr="00F130EF">
        <w:rPr>
          <w:lang w:val="en-US"/>
        </w:rPr>
        <w:t xml:space="preserve">) Pre and postoperative Frankel scale in the studied groups </w:t>
      </w:r>
    </w:p>
    <w:tbl>
      <w:tblPr>
        <w:tblW w:w="6934" w:type="dxa"/>
        <w:tblBorders>
          <w:top w:val="single" w:sz="12" w:space="0" w:color="auto"/>
          <w:bottom w:val="single" w:sz="12" w:space="0" w:color="auto"/>
        </w:tblBorders>
        <w:tblLook w:val="04A0" w:firstRow="1" w:lastRow="0" w:firstColumn="1" w:lastColumn="0" w:noHBand="0" w:noVBand="1"/>
      </w:tblPr>
      <w:tblGrid>
        <w:gridCol w:w="1440"/>
        <w:gridCol w:w="1344"/>
        <w:gridCol w:w="1500"/>
        <w:gridCol w:w="1570"/>
        <w:gridCol w:w="1080"/>
      </w:tblGrid>
      <w:tr w:rsidR="00F130EF" w:rsidRPr="00F130EF" w14:paraId="083F3474" w14:textId="77777777" w:rsidTr="00A27E1C">
        <w:trPr>
          <w:trHeight w:val="290"/>
        </w:trPr>
        <w:tc>
          <w:tcPr>
            <w:tcW w:w="2780" w:type="dxa"/>
            <w:gridSpan w:val="2"/>
            <w:tcBorders>
              <w:top w:val="single" w:sz="12" w:space="0" w:color="auto"/>
              <w:bottom w:val="single" w:sz="12" w:space="0" w:color="auto"/>
            </w:tcBorders>
            <w:shd w:val="clear" w:color="auto" w:fill="F2F2F2" w:themeFill="background1" w:themeFillShade="F2"/>
            <w:noWrap/>
            <w:vAlign w:val="bottom"/>
            <w:hideMark/>
          </w:tcPr>
          <w:p w14:paraId="36CA55C1" w14:textId="77777777" w:rsidR="00F130EF" w:rsidRPr="00F130EF" w:rsidRDefault="00F130EF" w:rsidP="00F130EF">
            <w:pPr>
              <w:rPr>
                <w:lang w:val="en-US"/>
              </w:rPr>
            </w:pPr>
            <w:r w:rsidRPr="00F130EF">
              <w:rPr>
                <w:lang w:val="en-US"/>
              </w:rPr>
              <w:t>Frankel scale</w:t>
            </w: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0B48A322" w14:textId="77777777" w:rsidR="00F130EF" w:rsidRPr="00F130EF" w:rsidRDefault="00F130EF" w:rsidP="00F130EF">
            <w:pPr>
              <w:rPr>
                <w:lang w:val="en-US"/>
              </w:rPr>
            </w:pPr>
            <w:r w:rsidRPr="00F130EF">
              <w:rPr>
                <w:lang w:val="en-US"/>
              </w:rPr>
              <w:t>Group A</w:t>
            </w:r>
          </w:p>
          <w:p w14:paraId="7CA716E8" w14:textId="77777777" w:rsidR="00F130EF" w:rsidRPr="00F130EF" w:rsidRDefault="00F130EF" w:rsidP="00F130EF">
            <w:pPr>
              <w:rPr>
                <w:lang w:val="en-US"/>
              </w:rPr>
            </w:pPr>
            <w:r w:rsidRPr="00F130EF">
              <w:rPr>
                <w:lang w:val="en-US"/>
              </w:rPr>
              <w:t>(n = 15)</w:t>
            </w:r>
          </w:p>
        </w:tc>
        <w:tc>
          <w:tcPr>
            <w:tcW w:w="1570" w:type="dxa"/>
            <w:tcBorders>
              <w:top w:val="single" w:sz="12" w:space="0" w:color="auto"/>
              <w:bottom w:val="single" w:sz="12" w:space="0" w:color="auto"/>
            </w:tcBorders>
            <w:shd w:val="clear" w:color="auto" w:fill="F2F2F2" w:themeFill="background1" w:themeFillShade="F2"/>
            <w:noWrap/>
            <w:vAlign w:val="bottom"/>
            <w:hideMark/>
          </w:tcPr>
          <w:p w14:paraId="3126AE08" w14:textId="77777777" w:rsidR="00F130EF" w:rsidRPr="00F130EF" w:rsidRDefault="00F130EF" w:rsidP="00F130EF">
            <w:pPr>
              <w:rPr>
                <w:lang w:val="en-US"/>
              </w:rPr>
            </w:pPr>
            <w:r w:rsidRPr="00F130EF">
              <w:rPr>
                <w:lang w:val="en-US"/>
              </w:rPr>
              <w:t>Group B</w:t>
            </w:r>
          </w:p>
          <w:p w14:paraId="33EF242D" w14:textId="77777777" w:rsidR="00F130EF" w:rsidRPr="00F130EF" w:rsidRDefault="00F130EF" w:rsidP="00F130EF">
            <w:pPr>
              <w:rPr>
                <w:lang w:val="en-US"/>
              </w:rPr>
            </w:pPr>
            <w:r w:rsidRPr="00F130EF">
              <w:rPr>
                <w:lang w:val="en-US"/>
              </w:rPr>
              <w:t>(n = 15)</w:t>
            </w:r>
          </w:p>
        </w:tc>
        <w:tc>
          <w:tcPr>
            <w:tcW w:w="1080" w:type="dxa"/>
            <w:tcBorders>
              <w:top w:val="single" w:sz="12" w:space="0" w:color="auto"/>
              <w:bottom w:val="single" w:sz="12" w:space="0" w:color="auto"/>
            </w:tcBorders>
            <w:shd w:val="clear" w:color="auto" w:fill="F2F2F2" w:themeFill="background1" w:themeFillShade="F2"/>
            <w:noWrap/>
            <w:vAlign w:val="bottom"/>
            <w:hideMark/>
          </w:tcPr>
          <w:p w14:paraId="784B9FD2" w14:textId="77777777" w:rsidR="00F130EF" w:rsidRPr="00F130EF" w:rsidRDefault="00F130EF" w:rsidP="00F130EF">
            <w:pPr>
              <w:rPr>
                <w:lang w:val="en-US"/>
              </w:rPr>
            </w:pPr>
            <w:r w:rsidRPr="00F130EF">
              <w:rPr>
                <w:lang w:val="en-US"/>
              </w:rPr>
              <w:t>P-value</w:t>
            </w:r>
          </w:p>
        </w:tc>
      </w:tr>
      <w:tr w:rsidR="00F130EF" w:rsidRPr="00F130EF" w14:paraId="4193EBF0" w14:textId="77777777" w:rsidTr="00A27E1C">
        <w:trPr>
          <w:trHeight w:val="290"/>
        </w:trPr>
        <w:tc>
          <w:tcPr>
            <w:tcW w:w="1440" w:type="dxa"/>
            <w:shd w:val="clear" w:color="auto" w:fill="F2F2F2" w:themeFill="background1" w:themeFillShade="F2"/>
            <w:noWrap/>
            <w:vAlign w:val="bottom"/>
            <w:hideMark/>
          </w:tcPr>
          <w:p w14:paraId="7BCBEEAC" w14:textId="77777777" w:rsidR="00F130EF" w:rsidRPr="00F130EF" w:rsidRDefault="00F130EF" w:rsidP="00F130EF">
            <w:pPr>
              <w:rPr>
                <w:lang w:val="en-US"/>
              </w:rPr>
            </w:pPr>
            <w:r w:rsidRPr="00F130EF">
              <w:rPr>
                <w:lang w:val="en-US"/>
              </w:rPr>
              <w:t>Preoperative</w:t>
            </w:r>
          </w:p>
        </w:tc>
        <w:tc>
          <w:tcPr>
            <w:tcW w:w="1344" w:type="dxa"/>
            <w:shd w:val="clear" w:color="auto" w:fill="F2F2F2" w:themeFill="background1" w:themeFillShade="F2"/>
            <w:noWrap/>
            <w:vAlign w:val="bottom"/>
            <w:hideMark/>
          </w:tcPr>
          <w:p w14:paraId="599046F3" w14:textId="77777777" w:rsidR="00F130EF" w:rsidRPr="00F130EF" w:rsidRDefault="00F130EF" w:rsidP="00F130EF">
            <w:pPr>
              <w:rPr>
                <w:lang w:val="en-US"/>
              </w:rPr>
            </w:pPr>
          </w:p>
        </w:tc>
        <w:tc>
          <w:tcPr>
            <w:tcW w:w="1500" w:type="dxa"/>
            <w:shd w:val="clear" w:color="auto" w:fill="F2F2F2" w:themeFill="background1" w:themeFillShade="F2"/>
            <w:noWrap/>
            <w:vAlign w:val="bottom"/>
            <w:hideMark/>
          </w:tcPr>
          <w:p w14:paraId="0EFECBE5" w14:textId="77777777" w:rsidR="00F130EF" w:rsidRPr="00F130EF" w:rsidRDefault="00F130EF" w:rsidP="00F130EF">
            <w:pPr>
              <w:rPr>
                <w:lang w:val="en-US"/>
              </w:rPr>
            </w:pPr>
          </w:p>
        </w:tc>
        <w:tc>
          <w:tcPr>
            <w:tcW w:w="1570" w:type="dxa"/>
            <w:shd w:val="clear" w:color="auto" w:fill="F2F2F2" w:themeFill="background1" w:themeFillShade="F2"/>
            <w:noWrap/>
            <w:vAlign w:val="bottom"/>
            <w:hideMark/>
          </w:tcPr>
          <w:p w14:paraId="5FE0CE15" w14:textId="77777777" w:rsidR="00F130EF" w:rsidRPr="00F130EF" w:rsidRDefault="00F130EF" w:rsidP="00F130EF">
            <w:pPr>
              <w:rPr>
                <w:lang w:val="en-US"/>
              </w:rPr>
            </w:pPr>
          </w:p>
        </w:tc>
        <w:tc>
          <w:tcPr>
            <w:tcW w:w="1080" w:type="dxa"/>
            <w:shd w:val="clear" w:color="auto" w:fill="F2F2F2" w:themeFill="background1" w:themeFillShade="F2"/>
            <w:noWrap/>
            <w:vAlign w:val="bottom"/>
            <w:hideMark/>
          </w:tcPr>
          <w:p w14:paraId="4E4ED6D1" w14:textId="77777777" w:rsidR="00F130EF" w:rsidRPr="00F130EF" w:rsidRDefault="00F130EF" w:rsidP="00F130EF">
            <w:pPr>
              <w:rPr>
                <w:lang w:val="en-US"/>
              </w:rPr>
            </w:pPr>
          </w:p>
        </w:tc>
      </w:tr>
      <w:tr w:rsidR="00F130EF" w:rsidRPr="00F130EF" w14:paraId="5561E0DD" w14:textId="77777777" w:rsidTr="00A27E1C">
        <w:trPr>
          <w:trHeight w:val="290"/>
        </w:trPr>
        <w:tc>
          <w:tcPr>
            <w:tcW w:w="1440" w:type="dxa"/>
            <w:shd w:val="clear" w:color="auto" w:fill="auto"/>
            <w:noWrap/>
            <w:vAlign w:val="bottom"/>
            <w:hideMark/>
          </w:tcPr>
          <w:p w14:paraId="62CF321F" w14:textId="77777777" w:rsidR="00F130EF" w:rsidRPr="00F130EF" w:rsidRDefault="00F130EF" w:rsidP="00F130EF">
            <w:pPr>
              <w:rPr>
                <w:lang w:val="en-US"/>
              </w:rPr>
            </w:pPr>
            <w:r w:rsidRPr="00F130EF">
              <w:rPr>
                <w:lang w:val="en-US"/>
              </w:rPr>
              <w:t>A</w:t>
            </w:r>
          </w:p>
        </w:tc>
        <w:tc>
          <w:tcPr>
            <w:tcW w:w="1344" w:type="dxa"/>
            <w:shd w:val="clear" w:color="auto" w:fill="auto"/>
            <w:noWrap/>
            <w:vAlign w:val="bottom"/>
            <w:hideMark/>
          </w:tcPr>
          <w:p w14:paraId="41C2CA98"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68E3024E" w14:textId="77777777" w:rsidR="00F130EF" w:rsidRPr="00F130EF" w:rsidRDefault="00F130EF" w:rsidP="00F130EF">
            <w:pPr>
              <w:rPr>
                <w:lang w:val="en-US"/>
              </w:rPr>
            </w:pPr>
            <w:r w:rsidRPr="00F130EF">
              <w:rPr>
                <w:lang w:val="en-US"/>
              </w:rPr>
              <w:t>1 (6.7)</w:t>
            </w:r>
          </w:p>
        </w:tc>
        <w:tc>
          <w:tcPr>
            <w:tcW w:w="1570" w:type="dxa"/>
            <w:shd w:val="clear" w:color="auto" w:fill="auto"/>
            <w:noWrap/>
            <w:vAlign w:val="bottom"/>
            <w:hideMark/>
          </w:tcPr>
          <w:p w14:paraId="67DC696A" w14:textId="77777777" w:rsidR="00F130EF" w:rsidRPr="00F130EF" w:rsidRDefault="00F130EF" w:rsidP="00F130EF">
            <w:pPr>
              <w:rPr>
                <w:lang w:val="en-US"/>
              </w:rPr>
            </w:pPr>
            <w:r w:rsidRPr="00F130EF">
              <w:rPr>
                <w:lang w:val="en-US"/>
              </w:rPr>
              <w:t>1 (6.7)</w:t>
            </w:r>
          </w:p>
        </w:tc>
        <w:tc>
          <w:tcPr>
            <w:tcW w:w="1080" w:type="dxa"/>
            <w:shd w:val="clear" w:color="auto" w:fill="auto"/>
            <w:noWrap/>
            <w:vAlign w:val="bottom"/>
            <w:hideMark/>
          </w:tcPr>
          <w:p w14:paraId="0DC4E3BF" w14:textId="77777777" w:rsidR="00F130EF" w:rsidRPr="00F130EF" w:rsidRDefault="00F130EF" w:rsidP="00F130EF">
            <w:pPr>
              <w:rPr>
                <w:lang w:val="en-US"/>
              </w:rPr>
            </w:pPr>
            <w:r w:rsidRPr="00F130EF">
              <w:rPr>
                <w:lang w:val="en-US"/>
              </w:rPr>
              <w:t>0.745</w:t>
            </w:r>
          </w:p>
        </w:tc>
      </w:tr>
      <w:tr w:rsidR="00F130EF" w:rsidRPr="00F130EF" w14:paraId="0C16BE40" w14:textId="77777777" w:rsidTr="00A27E1C">
        <w:trPr>
          <w:trHeight w:val="290"/>
        </w:trPr>
        <w:tc>
          <w:tcPr>
            <w:tcW w:w="1440" w:type="dxa"/>
            <w:shd w:val="clear" w:color="auto" w:fill="auto"/>
            <w:noWrap/>
            <w:vAlign w:val="bottom"/>
            <w:hideMark/>
          </w:tcPr>
          <w:p w14:paraId="26FC6D41" w14:textId="77777777" w:rsidR="00F130EF" w:rsidRPr="00F130EF" w:rsidRDefault="00F130EF" w:rsidP="00F130EF">
            <w:pPr>
              <w:rPr>
                <w:lang w:val="en-US"/>
              </w:rPr>
            </w:pPr>
            <w:r w:rsidRPr="00F130EF">
              <w:rPr>
                <w:lang w:val="en-US"/>
              </w:rPr>
              <w:t>B</w:t>
            </w:r>
          </w:p>
        </w:tc>
        <w:tc>
          <w:tcPr>
            <w:tcW w:w="1344" w:type="dxa"/>
            <w:shd w:val="clear" w:color="auto" w:fill="auto"/>
            <w:noWrap/>
            <w:vAlign w:val="bottom"/>
            <w:hideMark/>
          </w:tcPr>
          <w:p w14:paraId="3CF830D4"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1876032B" w14:textId="77777777" w:rsidR="00F130EF" w:rsidRPr="00F130EF" w:rsidRDefault="00F130EF" w:rsidP="00F130EF">
            <w:pPr>
              <w:rPr>
                <w:lang w:val="en-US"/>
              </w:rPr>
            </w:pPr>
            <w:r w:rsidRPr="00F130EF">
              <w:rPr>
                <w:lang w:val="en-US"/>
              </w:rPr>
              <w:t>5 (33.3)</w:t>
            </w:r>
          </w:p>
        </w:tc>
        <w:tc>
          <w:tcPr>
            <w:tcW w:w="1570" w:type="dxa"/>
            <w:shd w:val="clear" w:color="auto" w:fill="auto"/>
            <w:noWrap/>
            <w:vAlign w:val="bottom"/>
            <w:hideMark/>
          </w:tcPr>
          <w:p w14:paraId="02644D69" w14:textId="77777777" w:rsidR="00F130EF" w:rsidRPr="00F130EF" w:rsidRDefault="00F130EF" w:rsidP="00F130EF">
            <w:pPr>
              <w:rPr>
                <w:lang w:val="en-US"/>
              </w:rPr>
            </w:pPr>
            <w:r w:rsidRPr="00F130EF">
              <w:rPr>
                <w:lang w:val="en-US"/>
              </w:rPr>
              <w:t>2 (13.3)</w:t>
            </w:r>
          </w:p>
        </w:tc>
        <w:tc>
          <w:tcPr>
            <w:tcW w:w="1080" w:type="dxa"/>
            <w:shd w:val="clear" w:color="auto" w:fill="auto"/>
            <w:noWrap/>
            <w:vAlign w:val="bottom"/>
            <w:hideMark/>
          </w:tcPr>
          <w:p w14:paraId="5CFA5EE1" w14:textId="77777777" w:rsidR="00F130EF" w:rsidRPr="00F130EF" w:rsidRDefault="00F130EF" w:rsidP="00F130EF">
            <w:pPr>
              <w:rPr>
                <w:lang w:val="en-US"/>
              </w:rPr>
            </w:pPr>
          </w:p>
        </w:tc>
      </w:tr>
      <w:tr w:rsidR="00F130EF" w:rsidRPr="00F130EF" w14:paraId="3BF31F99" w14:textId="77777777" w:rsidTr="00A27E1C">
        <w:trPr>
          <w:trHeight w:val="290"/>
        </w:trPr>
        <w:tc>
          <w:tcPr>
            <w:tcW w:w="1440" w:type="dxa"/>
            <w:shd w:val="clear" w:color="auto" w:fill="auto"/>
            <w:noWrap/>
            <w:vAlign w:val="bottom"/>
            <w:hideMark/>
          </w:tcPr>
          <w:p w14:paraId="5F8D65EE" w14:textId="77777777" w:rsidR="00F130EF" w:rsidRPr="00F130EF" w:rsidRDefault="00F130EF" w:rsidP="00F130EF">
            <w:pPr>
              <w:rPr>
                <w:lang w:val="en-US"/>
              </w:rPr>
            </w:pPr>
            <w:r w:rsidRPr="00F130EF">
              <w:rPr>
                <w:lang w:val="en-US"/>
              </w:rPr>
              <w:t>C</w:t>
            </w:r>
          </w:p>
        </w:tc>
        <w:tc>
          <w:tcPr>
            <w:tcW w:w="1344" w:type="dxa"/>
            <w:shd w:val="clear" w:color="auto" w:fill="auto"/>
            <w:noWrap/>
            <w:vAlign w:val="bottom"/>
            <w:hideMark/>
          </w:tcPr>
          <w:p w14:paraId="4E8C3CA4"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74FF4FF8" w14:textId="77777777" w:rsidR="00F130EF" w:rsidRPr="00F130EF" w:rsidRDefault="00F130EF" w:rsidP="00F130EF">
            <w:pPr>
              <w:rPr>
                <w:lang w:val="en-US"/>
              </w:rPr>
            </w:pPr>
            <w:r w:rsidRPr="00F130EF">
              <w:rPr>
                <w:lang w:val="en-US"/>
              </w:rPr>
              <w:t>5 (33.3)</w:t>
            </w:r>
          </w:p>
        </w:tc>
        <w:tc>
          <w:tcPr>
            <w:tcW w:w="1570" w:type="dxa"/>
            <w:shd w:val="clear" w:color="auto" w:fill="auto"/>
            <w:noWrap/>
            <w:vAlign w:val="bottom"/>
            <w:hideMark/>
          </w:tcPr>
          <w:p w14:paraId="01ABC89F" w14:textId="77777777" w:rsidR="00F130EF" w:rsidRPr="00F130EF" w:rsidRDefault="00F130EF" w:rsidP="00F130EF">
            <w:pPr>
              <w:rPr>
                <w:lang w:val="en-US"/>
              </w:rPr>
            </w:pPr>
            <w:r w:rsidRPr="00F130EF">
              <w:rPr>
                <w:lang w:val="en-US"/>
              </w:rPr>
              <w:t>7 (46.7)</w:t>
            </w:r>
          </w:p>
        </w:tc>
        <w:tc>
          <w:tcPr>
            <w:tcW w:w="1080" w:type="dxa"/>
            <w:shd w:val="clear" w:color="auto" w:fill="auto"/>
            <w:noWrap/>
            <w:vAlign w:val="bottom"/>
            <w:hideMark/>
          </w:tcPr>
          <w:p w14:paraId="363C220D" w14:textId="77777777" w:rsidR="00F130EF" w:rsidRPr="00F130EF" w:rsidRDefault="00F130EF" w:rsidP="00F130EF">
            <w:pPr>
              <w:rPr>
                <w:lang w:val="en-US"/>
              </w:rPr>
            </w:pPr>
          </w:p>
        </w:tc>
      </w:tr>
      <w:tr w:rsidR="00F130EF" w:rsidRPr="00F130EF" w14:paraId="6C61F450" w14:textId="77777777" w:rsidTr="00A27E1C">
        <w:trPr>
          <w:trHeight w:val="290"/>
        </w:trPr>
        <w:tc>
          <w:tcPr>
            <w:tcW w:w="1440" w:type="dxa"/>
            <w:shd w:val="clear" w:color="auto" w:fill="auto"/>
            <w:noWrap/>
            <w:vAlign w:val="bottom"/>
            <w:hideMark/>
          </w:tcPr>
          <w:p w14:paraId="790FF703" w14:textId="77777777" w:rsidR="00F130EF" w:rsidRPr="00F130EF" w:rsidRDefault="00F130EF" w:rsidP="00F130EF">
            <w:pPr>
              <w:rPr>
                <w:lang w:val="en-US"/>
              </w:rPr>
            </w:pPr>
            <w:r w:rsidRPr="00F130EF">
              <w:rPr>
                <w:lang w:val="en-US"/>
              </w:rPr>
              <w:t>D</w:t>
            </w:r>
          </w:p>
        </w:tc>
        <w:tc>
          <w:tcPr>
            <w:tcW w:w="1344" w:type="dxa"/>
            <w:shd w:val="clear" w:color="auto" w:fill="auto"/>
            <w:noWrap/>
            <w:vAlign w:val="bottom"/>
            <w:hideMark/>
          </w:tcPr>
          <w:p w14:paraId="74842466"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0C755611" w14:textId="77777777" w:rsidR="00F130EF" w:rsidRPr="00F130EF" w:rsidRDefault="00F130EF" w:rsidP="00F130EF">
            <w:pPr>
              <w:rPr>
                <w:lang w:val="en-US"/>
              </w:rPr>
            </w:pPr>
            <w:r w:rsidRPr="00F130EF">
              <w:rPr>
                <w:lang w:val="en-US"/>
              </w:rPr>
              <w:t>4 (26.7)</w:t>
            </w:r>
          </w:p>
        </w:tc>
        <w:tc>
          <w:tcPr>
            <w:tcW w:w="1570" w:type="dxa"/>
            <w:shd w:val="clear" w:color="auto" w:fill="auto"/>
            <w:noWrap/>
            <w:vAlign w:val="bottom"/>
            <w:hideMark/>
          </w:tcPr>
          <w:p w14:paraId="0C738B24" w14:textId="77777777" w:rsidR="00F130EF" w:rsidRPr="00F130EF" w:rsidRDefault="00F130EF" w:rsidP="00F130EF">
            <w:pPr>
              <w:rPr>
                <w:lang w:val="en-US"/>
              </w:rPr>
            </w:pPr>
            <w:r w:rsidRPr="00F130EF">
              <w:rPr>
                <w:lang w:val="en-US"/>
              </w:rPr>
              <w:t>5 (33.3)</w:t>
            </w:r>
          </w:p>
        </w:tc>
        <w:tc>
          <w:tcPr>
            <w:tcW w:w="1080" w:type="dxa"/>
            <w:shd w:val="clear" w:color="auto" w:fill="auto"/>
            <w:noWrap/>
            <w:vAlign w:val="bottom"/>
            <w:hideMark/>
          </w:tcPr>
          <w:p w14:paraId="47ADAA10" w14:textId="77777777" w:rsidR="00F130EF" w:rsidRPr="00F130EF" w:rsidRDefault="00F130EF" w:rsidP="00F130EF">
            <w:pPr>
              <w:rPr>
                <w:lang w:val="en-US"/>
              </w:rPr>
            </w:pPr>
          </w:p>
        </w:tc>
      </w:tr>
      <w:tr w:rsidR="00F130EF" w:rsidRPr="00F130EF" w14:paraId="3E1525EF" w14:textId="77777777" w:rsidTr="00A27E1C">
        <w:trPr>
          <w:trHeight w:val="290"/>
        </w:trPr>
        <w:tc>
          <w:tcPr>
            <w:tcW w:w="1440" w:type="dxa"/>
            <w:shd w:val="clear" w:color="auto" w:fill="auto"/>
            <w:noWrap/>
            <w:vAlign w:val="bottom"/>
            <w:hideMark/>
          </w:tcPr>
          <w:p w14:paraId="04E68C5D" w14:textId="77777777" w:rsidR="00F130EF" w:rsidRPr="00F130EF" w:rsidRDefault="00F130EF" w:rsidP="00F130EF">
            <w:pPr>
              <w:rPr>
                <w:lang w:val="en-US"/>
              </w:rPr>
            </w:pPr>
            <w:r w:rsidRPr="00F130EF">
              <w:rPr>
                <w:lang w:val="en-US"/>
              </w:rPr>
              <w:t>E</w:t>
            </w:r>
          </w:p>
        </w:tc>
        <w:tc>
          <w:tcPr>
            <w:tcW w:w="1344" w:type="dxa"/>
            <w:shd w:val="clear" w:color="auto" w:fill="auto"/>
            <w:noWrap/>
            <w:vAlign w:val="bottom"/>
            <w:hideMark/>
          </w:tcPr>
          <w:p w14:paraId="1BA38376"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6AF6F7C4" w14:textId="77777777" w:rsidR="00F130EF" w:rsidRPr="00F130EF" w:rsidRDefault="00F130EF" w:rsidP="00F130EF">
            <w:pPr>
              <w:rPr>
                <w:lang w:val="en-US"/>
              </w:rPr>
            </w:pPr>
            <w:r w:rsidRPr="00F130EF">
              <w:rPr>
                <w:lang w:val="en-US"/>
              </w:rPr>
              <w:t>0 (0)</w:t>
            </w:r>
          </w:p>
        </w:tc>
        <w:tc>
          <w:tcPr>
            <w:tcW w:w="1570" w:type="dxa"/>
            <w:shd w:val="clear" w:color="auto" w:fill="auto"/>
            <w:noWrap/>
            <w:vAlign w:val="bottom"/>
            <w:hideMark/>
          </w:tcPr>
          <w:p w14:paraId="1F8C195C" w14:textId="77777777" w:rsidR="00F130EF" w:rsidRPr="00F130EF" w:rsidRDefault="00F130EF" w:rsidP="00F130EF">
            <w:pPr>
              <w:rPr>
                <w:lang w:val="en-US"/>
              </w:rPr>
            </w:pPr>
            <w:r w:rsidRPr="00F130EF">
              <w:rPr>
                <w:lang w:val="en-US"/>
              </w:rPr>
              <w:t>0 (0)</w:t>
            </w:r>
          </w:p>
        </w:tc>
        <w:tc>
          <w:tcPr>
            <w:tcW w:w="1080" w:type="dxa"/>
            <w:shd w:val="clear" w:color="auto" w:fill="auto"/>
            <w:noWrap/>
            <w:vAlign w:val="bottom"/>
            <w:hideMark/>
          </w:tcPr>
          <w:p w14:paraId="5CB59B56" w14:textId="77777777" w:rsidR="00F130EF" w:rsidRPr="00F130EF" w:rsidRDefault="00F130EF" w:rsidP="00F130EF">
            <w:pPr>
              <w:rPr>
                <w:lang w:val="en-US"/>
              </w:rPr>
            </w:pPr>
          </w:p>
        </w:tc>
      </w:tr>
      <w:tr w:rsidR="00F130EF" w:rsidRPr="00F130EF" w14:paraId="37923B96" w14:textId="77777777" w:rsidTr="00A27E1C">
        <w:trPr>
          <w:trHeight w:val="290"/>
        </w:trPr>
        <w:tc>
          <w:tcPr>
            <w:tcW w:w="1440" w:type="dxa"/>
            <w:shd w:val="clear" w:color="auto" w:fill="F2F2F2" w:themeFill="background1" w:themeFillShade="F2"/>
            <w:noWrap/>
            <w:vAlign w:val="bottom"/>
            <w:hideMark/>
          </w:tcPr>
          <w:p w14:paraId="4C5D06AF" w14:textId="77777777" w:rsidR="00F130EF" w:rsidRPr="00F130EF" w:rsidRDefault="00F130EF" w:rsidP="00F130EF">
            <w:pPr>
              <w:rPr>
                <w:lang w:val="en-US"/>
              </w:rPr>
            </w:pPr>
            <w:r w:rsidRPr="00F130EF">
              <w:rPr>
                <w:lang w:val="en-US"/>
              </w:rPr>
              <w:t>Preoperative</w:t>
            </w:r>
          </w:p>
        </w:tc>
        <w:tc>
          <w:tcPr>
            <w:tcW w:w="1344" w:type="dxa"/>
            <w:shd w:val="clear" w:color="auto" w:fill="F2F2F2" w:themeFill="background1" w:themeFillShade="F2"/>
            <w:noWrap/>
            <w:vAlign w:val="bottom"/>
            <w:hideMark/>
          </w:tcPr>
          <w:p w14:paraId="27D63EA5" w14:textId="77777777" w:rsidR="00F130EF" w:rsidRPr="00F130EF" w:rsidRDefault="00F130EF" w:rsidP="00F130EF">
            <w:pPr>
              <w:rPr>
                <w:lang w:val="en-US"/>
              </w:rPr>
            </w:pPr>
          </w:p>
        </w:tc>
        <w:tc>
          <w:tcPr>
            <w:tcW w:w="1500" w:type="dxa"/>
            <w:shd w:val="clear" w:color="auto" w:fill="F2F2F2" w:themeFill="background1" w:themeFillShade="F2"/>
            <w:noWrap/>
            <w:vAlign w:val="bottom"/>
            <w:hideMark/>
          </w:tcPr>
          <w:p w14:paraId="612DF5F7" w14:textId="77777777" w:rsidR="00F130EF" w:rsidRPr="00F130EF" w:rsidRDefault="00F130EF" w:rsidP="00F130EF">
            <w:pPr>
              <w:rPr>
                <w:lang w:val="en-US"/>
              </w:rPr>
            </w:pPr>
          </w:p>
        </w:tc>
        <w:tc>
          <w:tcPr>
            <w:tcW w:w="1570" w:type="dxa"/>
            <w:shd w:val="clear" w:color="auto" w:fill="F2F2F2" w:themeFill="background1" w:themeFillShade="F2"/>
            <w:noWrap/>
            <w:vAlign w:val="bottom"/>
            <w:hideMark/>
          </w:tcPr>
          <w:p w14:paraId="3B41DD25" w14:textId="77777777" w:rsidR="00F130EF" w:rsidRPr="00F130EF" w:rsidRDefault="00F130EF" w:rsidP="00F130EF">
            <w:pPr>
              <w:rPr>
                <w:lang w:val="en-US"/>
              </w:rPr>
            </w:pPr>
          </w:p>
        </w:tc>
        <w:tc>
          <w:tcPr>
            <w:tcW w:w="1080" w:type="dxa"/>
            <w:shd w:val="clear" w:color="auto" w:fill="F2F2F2" w:themeFill="background1" w:themeFillShade="F2"/>
            <w:noWrap/>
            <w:vAlign w:val="bottom"/>
            <w:hideMark/>
          </w:tcPr>
          <w:p w14:paraId="68CDBB2A" w14:textId="77777777" w:rsidR="00F130EF" w:rsidRPr="00F130EF" w:rsidRDefault="00F130EF" w:rsidP="00F130EF">
            <w:pPr>
              <w:rPr>
                <w:lang w:val="en-US"/>
              </w:rPr>
            </w:pPr>
          </w:p>
        </w:tc>
      </w:tr>
      <w:tr w:rsidR="00F130EF" w:rsidRPr="00F130EF" w14:paraId="370265DC" w14:textId="77777777" w:rsidTr="00A27E1C">
        <w:trPr>
          <w:trHeight w:val="290"/>
        </w:trPr>
        <w:tc>
          <w:tcPr>
            <w:tcW w:w="1440" w:type="dxa"/>
            <w:shd w:val="clear" w:color="auto" w:fill="auto"/>
            <w:noWrap/>
            <w:vAlign w:val="bottom"/>
            <w:hideMark/>
          </w:tcPr>
          <w:p w14:paraId="0004B09A" w14:textId="77777777" w:rsidR="00F130EF" w:rsidRPr="00F130EF" w:rsidRDefault="00F130EF" w:rsidP="00F130EF">
            <w:pPr>
              <w:rPr>
                <w:lang w:val="en-US"/>
              </w:rPr>
            </w:pPr>
            <w:r w:rsidRPr="00F130EF">
              <w:rPr>
                <w:lang w:val="en-US"/>
              </w:rPr>
              <w:t>A</w:t>
            </w:r>
          </w:p>
        </w:tc>
        <w:tc>
          <w:tcPr>
            <w:tcW w:w="1344" w:type="dxa"/>
            <w:shd w:val="clear" w:color="auto" w:fill="auto"/>
            <w:noWrap/>
            <w:vAlign w:val="bottom"/>
            <w:hideMark/>
          </w:tcPr>
          <w:p w14:paraId="4EF7C5E2"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126F42F3" w14:textId="77777777" w:rsidR="00F130EF" w:rsidRPr="00F130EF" w:rsidRDefault="00F130EF" w:rsidP="00F130EF">
            <w:pPr>
              <w:rPr>
                <w:lang w:val="en-US"/>
              </w:rPr>
            </w:pPr>
            <w:r w:rsidRPr="00F130EF">
              <w:rPr>
                <w:lang w:val="en-US"/>
              </w:rPr>
              <w:t>0 (0)</w:t>
            </w:r>
          </w:p>
        </w:tc>
        <w:tc>
          <w:tcPr>
            <w:tcW w:w="1570" w:type="dxa"/>
            <w:shd w:val="clear" w:color="auto" w:fill="auto"/>
            <w:noWrap/>
            <w:vAlign w:val="bottom"/>
            <w:hideMark/>
          </w:tcPr>
          <w:p w14:paraId="51682F6E" w14:textId="77777777" w:rsidR="00F130EF" w:rsidRPr="00F130EF" w:rsidRDefault="00F130EF" w:rsidP="00F130EF">
            <w:pPr>
              <w:rPr>
                <w:lang w:val="en-US"/>
              </w:rPr>
            </w:pPr>
            <w:r w:rsidRPr="00F130EF">
              <w:rPr>
                <w:lang w:val="en-US"/>
              </w:rPr>
              <w:t>1 (6.7)</w:t>
            </w:r>
          </w:p>
        </w:tc>
        <w:tc>
          <w:tcPr>
            <w:tcW w:w="1080" w:type="dxa"/>
            <w:shd w:val="clear" w:color="auto" w:fill="auto"/>
            <w:noWrap/>
            <w:vAlign w:val="bottom"/>
            <w:hideMark/>
          </w:tcPr>
          <w:p w14:paraId="24F06FEC" w14:textId="77777777" w:rsidR="00F130EF" w:rsidRPr="00F130EF" w:rsidRDefault="00F130EF" w:rsidP="00F130EF">
            <w:pPr>
              <w:rPr>
                <w:lang w:val="en-US"/>
              </w:rPr>
            </w:pPr>
            <w:r w:rsidRPr="00F130EF">
              <w:rPr>
                <w:lang w:val="en-US"/>
              </w:rPr>
              <w:t>0.708</w:t>
            </w:r>
          </w:p>
        </w:tc>
      </w:tr>
      <w:tr w:rsidR="00F130EF" w:rsidRPr="00F130EF" w14:paraId="2B9D851F" w14:textId="77777777" w:rsidTr="00A27E1C">
        <w:trPr>
          <w:trHeight w:val="290"/>
        </w:trPr>
        <w:tc>
          <w:tcPr>
            <w:tcW w:w="1440" w:type="dxa"/>
            <w:shd w:val="clear" w:color="auto" w:fill="auto"/>
            <w:noWrap/>
            <w:vAlign w:val="bottom"/>
            <w:hideMark/>
          </w:tcPr>
          <w:p w14:paraId="720A7A71" w14:textId="77777777" w:rsidR="00F130EF" w:rsidRPr="00F130EF" w:rsidRDefault="00F130EF" w:rsidP="00F130EF">
            <w:pPr>
              <w:rPr>
                <w:lang w:val="en-US"/>
              </w:rPr>
            </w:pPr>
            <w:r w:rsidRPr="00F130EF">
              <w:rPr>
                <w:lang w:val="en-US"/>
              </w:rPr>
              <w:t>B</w:t>
            </w:r>
          </w:p>
        </w:tc>
        <w:tc>
          <w:tcPr>
            <w:tcW w:w="1344" w:type="dxa"/>
            <w:shd w:val="clear" w:color="auto" w:fill="auto"/>
            <w:noWrap/>
            <w:vAlign w:val="bottom"/>
            <w:hideMark/>
          </w:tcPr>
          <w:p w14:paraId="170832DF"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30944531" w14:textId="77777777" w:rsidR="00F130EF" w:rsidRPr="00F130EF" w:rsidRDefault="00F130EF" w:rsidP="00F130EF">
            <w:pPr>
              <w:rPr>
                <w:lang w:val="en-US"/>
              </w:rPr>
            </w:pPr>
            <w:r w:rsidRPr="00F130EF">
              <w:rPr>
                <w:lang w:val="en-US"/>
              </w:rPr>
              <w:t>1 (6.7)</w:t>
            </w:r>
          </w:p>
        </w:tc>
        <w:tc>
          <w:tcPr>
            <w:tcW w:w="1570" w:type="dxa"/>
            <w:shd w:val="clear" w:color="auto" w:fill="auto"/>
            <w:noWrap/>
            <w:vAlign w:val="bottom"/>
            <w:hideMark/>
          </w:tcPr>
          <w:p w14:paraId="432F3AC6" w14:textId="77777777" w:rsidR="00F130EF" w:rsidRPr="00F130EF" w:rsidRDefault="00F130EF" w:rsidP="00F130EF">
            <w:pPr>
              <w:rPr>
                <w:lang w:val="en-US"/>
              </w:rPr>
            </w:pPr>
            <w:r w:rsidRPr="00F130EF">
              <w:rPr>
                <w:lang w:val="en-US"/>
              </w:rPr>
              <w:t>0 (0)</w:t>
            </w:r>
          </w:p>
        </w:tc>
        <w:tc>
          <w:tcPr>
            <w:tcW w:w="1080" w:type="dxa"/>
            <w:shd w:val="clear" w:color="auto" w:fill="auto"/>
            <w:noWrap/>
            <w:vAlign w:val="bottom"/>
            <w:hideMark/>
          </w:tcPr>
          <w:p w14:paraId="05EE8CD5" w14:textId="77777777" w:rsidR="00F130EF" w:rsidRPr="00F130EF" w:rsidRDefault="00F130EF" w:rsidP="00F130EF">
            <w:pPr>
              <w:rPr>
                <w:lang w:val="en-US"/>
              </w:rPr>
            </w:pPr>
          </w:p>
        </w:tc>
      </w:tr>
      <w:tr w:rsidR="00F130EF" w:rsidRPr="00F130EF" w14:paraId="17E7E3CC" w14:textId="77777777" w:rsidTr="00A27E1C">
        <w:trPr>
          <w:trHeight w:val="290"/>
        </w:trPr>
        <w:tc>
          <w:tcPr>
            <w:tcW w:w="1440" w:type="dxa"/>
            <w:shd w:val="clear" w:color="auto" w:fill="auto"/>
            <w:noWrap/>
            <w:vAlign w:val="bottom"/>
            <w:hideMark/>
          </w:tcPr>
          <w:p w14:paraId="5508C383" w14:textId="77777777" w:rsidR="00F130EF" w:rsidRPr="00F130EF" w:rsidRDefault="00F130EF" w:rsidP="00F130EF">
            <w:pPr>
              <w:rPr>
                <w:lang w:val="en-US"/>
              </w:rPr>
            </w:pPr>
            <w:r w:rsidRPr="00F130EF">
              <w:rPr>
                <w:lang w:val="en-US"/>
              </w:rPr>
              <w:t>C</w:t>
            </w:r>
          </w:p>
        </w:tc>
        <w:tc>
          <w:tcPr>
            <w:tcW w:w="1344" w:type="dxa"/>
            <w:shd w:val="clear" w:color="auto" w:fill="auto"/>
            <w:noWrap/>
            <w:vAlign w:val="bottom"/>
            <w:hideMark/>
          </w:tcPr>
          <w:p w14:paraId="4C415CD8"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0293A5A9" w14:textId="77777777" w:rsidR="00F130EF" w:rsidRPr="00F130EF" w:rsidRDefault="00F130EF" w:rsidP="00F130EF">
            <w:pPr>
              <w:rPr>
                <w:lang w:val="en-US"/>
              </w:rPr>
            </w:pPr>
            <w:r w:rsidRPr="00F130EF">
              <w:rPr>
                <w:lang w:val="en-US"/>
              </w:rPr>
              <w:t>4 (26.7)</w:t>
            </w:r>
          </w:p>
        </w:tc>
        <w:tc>
          <w:tcPr>
            <w:tcW w:w="1570" w:type="dxa"/>
            <w:shd w:val="clear" w:color="auto" w:fill="auto"/>
            <w:noWrap/>
            <w:vAlign w:val="bottom"/>
            <w:hideMark/>
          </w:tcPr>
          <w:p w14:paraId="7546FA0A" w14:textId="77777777" w:rsidR="00F130EF" w:rsidRPr="00F130EF" w:rsidRDefault="00F130EF" w:rsidP="00F130EF">
            <w:pPr>
              <w:rPr>
                <w:lang w:val="en-US"/>
              </w:rPr>
            </w:pPr>
            <w:r w:rsidRPr="00F130EF">
              <w:rPr>
                <w:lang w:val="en-US"/>
              </w:rPr>
              <w:t>2 (13.3)</w:t>
            </w:r>
          </w:p>
        </w:tc>
        <w:tc>
          <w:tcPr>
            <w:tcW w:w="1080" w:type="dxa"/>
            <w:shd w:val="clear" w:color="auto" w:fill="auto"/>
            <w:noWrap/>
            <w:vAlign w:val="bottom"/>
            <w:hideMark/>
          </w:tcPr>
          <w:p w14:paraId="3EF353F0" w14:textId="77777777" w:rsidR="00F130EF" w:rsidRPr="00F130EF" w:rsidRDefault="00F130EF" w:rsidP="00F130EF">
            <w:pPr>
              <w:rPr>
                <w:lang w:val="en-US"/>
              </w:rPr>
            </w:pPr>
          </w:p>
        </w:tc>
      </w:tr>
      <w:tr w:rsidR="00F130EF" w:rsidRPr="00F130EF" w14:paraId="1AC0473A" w14:textId="77777777" w:rsidTr="00A27E1C">
        <w:trPr>
          <w:trHeight w:val="290"/>
        </w:trPr>
        <w:tc>
          <w:tcPr>
            <w:tcW w:w="1440" w:type="dxa"/>
            <w:shd w:val="clear" w:color="auto" w:fill="auto"/>
            <w:noWrap/>
            <w:vAlign w:val="bottom"/>
            <w:hideMark/>
          </w:tcPr>
          <w:p w14:paraId="361AD922" w14:textId="77777777" w:rsidR="00F130EF" w:rsidRPr="00F130EF" w:rsidRDefault="00F130EF" w:rsidP="00F130EF">
            <w:pPr>
              <w:rPr>
                <w:lang w:val="en-US"/>
              </w:rPr>
            </w:pPr>
            <w:r w:rsidRPr="00F130EF">
              <w:rPr>
                <w:lang w:val="en-US"/>
              </w:rPr>
              <w:t>D</w:t>
            </w:r>
          </w:p>
        </w:tc>
        <w:tc>
          <w:tcPr>
            <w:tcW w:w="1344" w:type="dxa"/>
            <w:shd w:val="clear" w:color="auto" w:fill="auto"/>
            <w:noWrap/>
            <w:vAlign w:val="bottom"/>
            <w:hideMark/>
          </w:tcPr>
          <w:p w14:paraId="3F08C6E4"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4EC2F4FD" w14:textId="77777777" w:rsidR="00F130EF" w:rsidRPr="00F130EF" w:rsidRDefault="00F130EF" w:rsidP="00F130EF">
            <w:pPr>
              <w:rPr>
                <w:lang w:val="en-US"/>
              </w:rPr>
            </w:pPr>
            <w:r w:rsidRPr="00F130EF">
              <w:rPr>
                <w:lang w:val="en-US"/>
              </w:rPr>
              <w:t>5 (33.3)</w:t>
            </w:r>
          </w:p>
        </w:tc>
        <w:tc>
          <w:tcPr>
            <w:tcW w:w="1570" w:type="dxa"/>
            <w:shd w:val="clear" w:color="auto" w:fill="auto"/>
            <w:noWrap/>
            <w:vAlign w:val="bottom"/>
            <w:hideMark/>
          </w:tcPr>
          <w:p w14:paraId="283D77C9" w14:textId="77777777" w:rsidR="00F130EF" w:rsidRPr="00F130EF" w:rsidRDefault="00F130EF" w:rsidP="00F130EF">
            <w:pPr>
              <w:rPr>
                <w:lang w:val="en-US"/>
              </w:rPr>
            </w:pPr>
            <w:r w:rsidRPr="00F130EF">
              <w:rPr>
                <w:lang w:val="en-US"/>
              </w:rPr>
              <w:t>7 (46.7)</w:t>
            </w:r>
          </w:p>
        </w:tc>
        <w:tc>
          <w:tcPr>
            <w:tcW w:w="1080" w:type="dxa"/>
            <w:shd w:val="clear" w:color="auto" w:fill="auto"/>
            <w:noWrap/>
            <w:vAlign w:val="bottom"/>
            <w:hideMark/>
          </w:tcPr>
          <w:p w14:paraId="592926BF" w14:textId="77777777" w:rsidR="00F130EF" w:rsidRPr="00F130EF" w:rsidRDefault="00F130EF" w:rsidP="00F130EF">
            <w:pPr>
              <w:rPr>
                <w:lang w:val="en-US"/>
              </w:rPr>
            </w:pPr>
          </w:p>
        </w:tc>
      </w:tr>
      <w:tr w:rsidR="00F130EF" w:rsidRPr="00F130EF" w14:paraId="3B9B2B4C" w14:textId="77777777" w:rsidTr="00A27E1C">
        <w:trPr>
          <w:trHeight w:val="290"/>
        </w:trPr>
        <w:tc>
          <w:tcPr>
            <w:tcW w:w="1440" w:type="dxa"/>
            <w:shd w:val="clear" w:color="auto" w:fill="auto"/>
            <w:noWrap/>
            <w:vAlign w:val="bottom"/>
            <w:hideMark/>
          </w:tcPr>
          <w:p w14:paraId="5D794DBE" w14:textId="77777777" w:rsidR="00F130EF" w:rsidRPr="00F130EF" w:rsidRDefault="00F130EF" w:rsidP="00F130EF">
            <w:pPr>
              <w:rPr>
                <w:lang w:val="en-US"/>
              </w:rPr>
            </w:pPr>
            <w:r w:rsidRPr="00F130EF">
              <w:rPr>
                <w:lang w:val="en-US"/>
              </w:rPr>
              <w:t>E</w:t>
            </w:r>
          </w:p>
        </w:tc>
        <w:tc>
          <w:tcPr>
            <w:tcW w:w="1344" w:type="dxa"/>
            <w:shd w:val="clear" w:color="auto" w:fill="auto"/>
            <w:noWrap/>
            <w:vAlign w:val="bottom"/>
            <w:hideMark/>
          </w:tcPr>
          <w:p w14:paraId="11A84B6B"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0061EFBD" w14:textId="77777777" w:rsidR="00F130EF" w:rsidRPr="00F130EF" w:rsidRDefault="00F130EF" w:rsidP="00F130EF">
            <w:pPr>
              <w:rPr>
                <w:lang w:val="en-US"/>
              </w:rPr>
            </w:pPr>
            <w:r w:rsidRPr="00F130EF">
              <w:rPr>
                <w:lang w:val="en-US"/>
              </w:rPr>
              <w:t>5 (33.3)</w:t>
            </w:r>
          </w:p>
        </w:tc>
        <w:tc>
          <w:tcPr>
            <w:tcW w:w="1570" w:type="dxa"/>
            <w:shd w:val="clear" w:color="auto" w:fill="auto"/>
            <w:noWrap/>
            <w:vAlign w:val="bottom"/>
            <w:hideMark/>
          </w:tcPr>
          <w:p w14:paraId="4836CB0D" w14:textId="77777777" w:rsidR="00F130EF" w:rsidRPr="00F130EF" w:rsidRDefault="00F130EF" w:rsidP="00F130EF">
            <w:pPr>
              <w:rPr>
                <w:lang w:val="en-US"/>
              </w:rPr>
            </w:pPr>
            <w:r w:rsidRPr="00F130EF">
              <w:rPr>
                <w:lang w:val="en-US"/>
              </w:rPr>
              <w:t>5 (33.3)</w:t>
            </w:r>
          </w:p>
        </w:tc>
        <w:tc>
          <w:tcPr>
            <w:tcW w:w="1080" w:type="dxa"/>
            <w:shd w:val="clear" w:color="auto" w:fill="auto"/>
            <w:noWrap/>
            <w:vAlign w:val="bottom"/>
            <w:hideMark/>
          </w:tcPr>
          <w:p w14:paraId="79187DB3" w14:textId="77777777" w:rsidR="00F130EF" w:rsidRPr="00F130EF" w:rsidRDefault="00F130EF" w:rsidP="00F130EF">
            <w:pPr>
              <w:rPr>
                <w:lang w:val="en-US"/>
              </w:rPr>
            </w:pPr>
          </w:p>
        </w:tc>
      </w:tr>
    </w:tbl>
    <w:p w14:paraId="556D9DF7" w14:textId="77777777" w:rsidR="00F130EF" w:rsidRDefault="00F130EF" w:rsidP="00F130EF">
      <w:pPr>
        <w:rPr>
          <w:lang w:val="en-US"/>
        </w:rPr>
      </w:pPr>
    </w:p>
    <w:p w14:paraId="49B888BB" w14:textId="26B57715" w:rsidR="00F130EF" w:rsidRPr="00F130EF" w:rsidRDefault="00F130EF" w:rsidP="00F130EF">
      <w:pPr>
        <w:rPr>
          <w:lang w:val="en-US"/>
        </w:rPr>
      </w:pPr>
      <w:r w:rsidRPr="00F130EF">
        <w:rPr>
          <w:lang w:val="en-US"/>
        </w:rPr>
        <w:t>Table (</w:t>
      </w:r>
      <w:r>
        <w:rPr>
          <w:lang w:val="en-US"/>
        </w:rPr>
        <w:t>7</w:t>
      </w:r>
      <w:r w:rsidRPr="00F130EF">
        <w:rPr>
          <w:lang w:val="en-US"/>
        </w:rPr>
        <w:t xml:space="preserve">) Pre and postoperative ODI in the studied groups </w:t>
      </w:r>
    </w:p>
    <w:tbl>
      <w:tblPr>
        <w:tblW w:w="8295" w:type="dxa"/>
        <w:tblBorders>
          <w:top w:val="single" w:sz="12" w:space="0" w:color="auto"/>
          <w:bottom w:val="single" w:sz="12" w:space="0" w:color="auto"/>
        </w:tblBorders>
        <w:tblLook w:val="04A0" w:firstRow="1" w:lastRow="0" w:firstColumn="1" w:lastColumn="0" w:noHBand="0" w:noVBand="1"/>
      </w:tblPr>
      <w:tblGrid>
        <w:gridCol w:w="2250"/>
        <w:gridCol w:w="1980"/>
        <w:gridCol w:w="1500"/>
        <w:gridCol w:w="1400"/>
        <w:gridCol w:w="1165"/>
      </w:tblGrid>
      <w:tr w:rsidR="00F130EF" w:rsidRPr="00F130EF" w14:paraId="3F69F657" w14:textId="77777777" w:rsidTr="00A27E1C">
        <w:trPr>
          <w:trHeight w:val="290"/>
        </w:trPr>
        <w:tc>
          <w:tcPr>
            <w:tcW w:w="2250" w:type="dxa"/>
            <w:tcBorders>
              <w:top w:val="single" w:sz="12" w:space="0" w:color="auto"/>
              <w:bottom w:val="single" w:sz="12" w:space="0" w:color="auto"/>
            </w:tcBorders>
            <w:shd w:val="clear" w:color="auto" w:fill="F2F2F2" w:themeFill="background1" w:themeFillShade="F2"/>
            <w:noWrap/>
            <w:vAlign w:val="bottom"/>
            <w:hideMark/>
          </w:tcPr>
          <w:p w14:paraId="47624334" w14:textId="77777777" w:rsidR="00F130EF" w:rsidRPr="00F130EF" w:rsidRDefault="00F130EF" w:rsidP="00F130EF">
            <w:pPr>
              <w:rPr>
                <w:lang w:val="en-US"/>
              </w:rPr>
            </w:pPr>
            <w:r w:rsidRPr="00F130EF">
              <w:rPr>
                <w:lang w:val="en-US"/>
              </w:rPr>
              <w:t xml:space="preserve">ODI </w:t>
            </w:r>
          </w:p>
        </w:tc>
        <w:tc>
          <w:tcPr>
            <w:tcW w:w="1980" w:type="dxa"/>
            <w:tcBorders>
              <w:top w:val="single" w:sz="12" w:space="0" w:color="auto"/>
              <w:bottom w:val="single" w:sz="12" w:space="0" w:color="auto"/>
            </w:tcBorders>
            <w:shd w:val="clear" w:color="auto" w:fill="F2F2F2" w:themeFill="background1" w:themeFillShade="F2"/>
            <w:noWrap/>
            <w:vAlign w:val="bottom"/>
            <w:hideMark/>
          </w:tcPr>
          <w:p w14:paraId="1FB8F07E"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14EEDA02" w14:textId="77777777" w:rsidR="00F130EF" w:rsidRPr="00F130EF" w:rsidRDefault="00F130EF" w:rsidP="00F130EF">
            <w:pPr>
              <w:rPr>
                <w:lang w:val="en-US"/>
              </w:rPr>
            </w:pPr>
            <w:r w:rsidRPr="00F130EF">
              <w:rPr>
                <w:lang w:val="en-US"/>
              </w:rPr>
              <w:t>Group A</w:t>
            </w:r>
          </w:p>
          <w:p w14:paraId="2A2E361A"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49DE3FD6" w14:textId="77777777" w:rsidR="00F130EF" w:rsidRPr="00F130EF" w:rsidRDefault="00F130EF" w:rsidP="00F130EF">
            <w:pPr>
              <w:rPr>
                <w:lang w:val="en-US"/>
              </w:rPr>
            </w:pPr>
            <w:r w:rsidRPr="00F130EF">
              <w:rPr>
                <w:lang w:val="en-US"/>
              </w:rPr>
              <w:t>Group B</w:t>
            </w:r>
          </w:p>
          <w:p w14:paraId="6E43DE04"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3CA92129" w14:textId="77777777" w:rsidR="00F130EF" w:rsidRPr="00F130EF" w:rsidRDefault="00F130EF" w:rsidP="00F130EF">
            <w:pPr>
              <w:rPr>
                <w:lang w:val="en-US"/>
              </w:rPr>
            </w:pPr>
            <w:r w:rsidRPr="00F130EF">
              <w:rPr>
                <w:lang w:val="en-US"/>
              </w:rPr>
              <w:t>P-value</w:t>
            </w:r>
          </w:p>
        </w:tc>
      </w:tr>
      <w:tr w:rsidR="00F130EF" w:rsidRPr="00F130EF" w14:paraId="748B527B" w14:textId="77777777" w:rsidTr="00A27E1C">
        <w:trPr>
          <w:trHeight w:val="290"/>
        </w:trPr>
        <w:tc>
          <w:tcPr>
            <w:tcW w:w="2250" w:type="dxa"/>
            <w:shd w:val="clear" w:color="auto" w:fill="auto"/>
            <w:noWrap/>
            <w:vAlign w:val="bottom"/>
            <w:hideMark/>
          </w:tcPr>
          <w:p w14:paraId="5F1C3647" w14:textId="77777777" w:rsidR="00F130EF" w:rsidRPr="00F130EF" w:rsidRDefault="00F130EF" w:rsidP="00F130EF">
            <w:pPr>
              <w:rPr>
                <w:lang w:val="en-US"/>
              </w:rPr>
            </w:pPr>
            <w:r w:rsidRPr="00F130EF">
              <w:rPr>
                <w:lang w:val="en-US"/>
              </w:rPr>
              <w:t>Preoperative (%)</w:t>
            </w:r>
          </w:p>
        </w:tc>
        <w:tc>
          <w:tcPr>
            <w:tcW w:w="1980" w:type="dxa"/>
            <w:shd w:val="clear" w:color="auto" w:fill="auto"/>
            <w:noWrap/>
            <w:vAlign w:val="bottom"/>
            <w:hideMark/>
          </w:tcPr>
          <w:p w14:paraId="585B375B"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3E6777AC" w14:textId="77777777" w:rsidR="00F130EF" w:rsidRPr="00F130EF" w:rsidRDefault="00F130EF" w:rsidP="00F130EF">
            <w:pPr>
              <w:rPr>
                <w:lang w:val="en-US"/>
              </w:rPr>
            </w:pPr>
            <w:r w:rsidRPr="00F130EF">
              <w:rPr>
                <w:lang w:val="en-US"/>
              </w:rPr>
              <w:t>84 (76 - 94)</w:t>
            </w:r>
          </w:p>
        </w:tc>
        <w:tc>
          <w:tcPr>
            <w:tcW w:w="1400" w:type="dxa"/>
            <w:shd w:val="clear" w:color="auto" w:fill="auto"/>
            <w:noWrap/>
            <w:vAlign w:val="bottom"/>
            <w:hideMark/>
          </w:tcPr>
          <w:p w14:paraId="2266E49E" w14:textId="77777777" w:rsidR="00F130EF" w:rsidRPr="00F130EF" w:rsidRDefault="00F130EF" w:rsidP="00F130EF">
            <w:pPr>
              <w:rPr>
                <w:lang w:val="en-US"/>
              </w:rPr>
            </w:pPr>
            <w:r w:rsidRPr="00F130EF">
              <w:rPr>
                <w:lang w:val="en-US"/>
              </w:rPr>
              <w:t>82 (70 - 98)</w:t>
            </w:r>
          </w:p>
        </w:tc>
        <w:tc>
          <w:tcPr>
            <w:tcW w:w="1165" w:type="dxa"/>
            <w:shd w:val="clear" w:color="auto" w:fill="auto"/>
            <w:noWrap/>
            <w:vAlign w:val="bottom"/>
            <w:hideMark/>
          </w:tcPr>
          <w:p w14:paraId="605D40C9" w14:textId="77777777" w:rsidR="00F130EF" w:rsidRPr="00F130EF" w:rsidRDefault="00F130EF" w:rsidP="00F130EF">
            <w:pPr>
              <w:rPr>
                <w:lang w:val="en-US"/>
              </w:rPr>
            </w:pPr>
            <w:r w:rsidRPr="00F130EF">
              <w:rPr>
                <w:lang w:val="en-US"/>
              </w:rPr>
              <w:t>0.512</w:t>
            </w:r>
          </w:p>
        </w:tc>
      </w:tr>
      <w:tr w:rsidR="00F130EF" w:rsidRPr="00F130EF" w14:paraId="73A5EA6C" w14:textId="77777777" w:rsidTr="00A27E1C">
        <w:trPr>
          <w:trHeight w:val="290"/>
        </w:trPr>
        <w:tc>
          <w:tcPr>
            <w:tcW w:w="2250" w:type="dxa"/>
            <w:shd w:val="clear" w:color="auto" w:fill="auto"/>
            <w:noWrap/>
            <w:vAlign w:val="bottom"/>
            <w:hideMark/>
          </w:tcPr>
          <w:p w14:paraId="1FE8355E" w14:textId="77777777" w:rsidR="00F130EF" w:rsidRPr="00F130EF" w:rsidRDefault="00F130EF" w:rsidP="00F130EF">
            <w:pPr>
              <w:rPr>
                <w:lang w:val="en-US"/>
              </w:rPr>
            </w:pPr>
            <w:r w:rsidRPr="00F130EF">
              <w:rPr>
                <w:lang w:val="en-US"/>
              </w:rPr>
              <w:t>Postoperative (%)</w:t>
            </w:r>
          </w:p>
        </w:tc>
        <w:tc>
          <w:tcPr>
            <w:tcW w:w="1980" w:type="dxa"/>
            <w:shd w:val="clear" w:color="auto" w:fill="auto"/>
            <w:noWrap/>
            <w:vAlign w:val="bottom"/>
            <w:hideMark/>
          </w:tcPr>
          <w:p w14:paraId="2A541437"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76985D3D" w14:textId="77777777" w:rsidR="00F130EF" w:rsidRPr="00F130EF" w:rsidRDefault="00F130EF" w:rsidP="00F130EF">
            <w:pPr>
              <w:rPr>
                <w:lang w:val="en-US"/>
              </w:rPr>
            </w:pPr>
            <w:r w:rsidRPr="00F130EF">
              <w:rPr>
                <w:lang w:val="en-US"/>
              </w:rPr>
              <w:t>28 (22 - 82)</w:t>
            </w:r>
          </w:p>
        </w:tc>
        <w:tc>
          <w:tcPr>
            <w:tcW w:w="1400" w:type="dxa"/>
            <w:shd w:val="clear" w:color="auto" w:fill="auto"/>
            <w:noWrap/>
            <w:vAlign w:val="bottom"/>
            <w:hideMark/>
          </w:tcPr>
          <w:p w14:paraId="4E3DF681" w14:textId="77777777" w:rsidR="00F130EF" w:rsidRPr="00F130EF" w:rsidRDefault="00F130EF" w:rsidP="00F130EF">
            <w:pPr>
              <w:rPr>
                <w:lang w:val="en-US"/>
              </w:rPr>
            </w:pPr>
            <w:r w:rsidRPr="00F130EF">
              <w:rPr>
                <w:lang w:val="en-US"/>
              </w:rPr>
              <w:t>30 (18 - 92)</w:t>
            </w:r>
          </w:p>
        </w:tc>
        <w:tc>
          <w:tcPr>
            <w:tcW w:w="1165" w:type="dxa"/>
            <w:shd w:val="clear" w:color="auto" w:fill="auto"/>
            <w:noWrap/>
            <w:vAlign w:val="bottom"/>
            <w:hideMark/>
          </w:tcPr>
          <w:p w14:paraId="3A268AC1" w14:textId="77777777" w:rsidR="00F130EF" w:rsidRPr="00F130EF" w:rsidRDefault="00F130EF" w:rsidP="00F130EF">
            <w:pPr>
              <w:rPr>
                <w:lang w:val="en-US"/>
              </w:rPr>
            </w:pPr>
            <w:r w:rsidRPr="00F130EF">
              <w:rPr>
                <w:lang w:val="en-US"/>
              </w:rPr>
              <w:t>0.935</w:t>
            </w:r>
          </w:p>
        </w:tc>
      </w:tr>
    </w:tbl>
    <w:p w14:paraId="157FDD85" w14:textId="1AA61EE6" w:rsidR="00F130EF" w:rsidRDefault="00F130EF" w:rsidP="00F130EF">
      <w:pPr>
        <w:rPr>
          <w:lang w:val="en-US"/>
        </w:rPr>
      </w:pPr>
      <w:r w:rsidRPr="00F130EF">
        <w:rPr>
          <w:lang w:val="en-US"/>
        </w:rPr>
        <w:t>ODI: Oswestry Disability Index</w:t>
      </w:r>
    </w:p>
    <w:p w14:paraId="766767D3" w14:textId="2A79B485" w:rsidR="00F130EF" w:rsidRPr="00F130EF" w:rsidRDefault="00F130EF" w:rsidP="00F130EF">
      <w:pPr>
        <w:rPr>
          <w:lang w:val="en-US"/>
        </w:rPr>
      </w:pPr>
      <w:r w:rsidRPr="00F130EF">
        <w:rPr>
          <w:lang w:val="en-US"/>
        </w:rPr>
        <w:t>Table (</w:t>
      </w:r>
      <w:r>
        <w:rPr>
          <w:lang w:val="en-US"/>
        </w:rPr>
        <w:t>8</w:t>
      </w:r>
      <w:r w:rsidRPr="00F130EF">
        <w:rPr>
          <w:lang w:val="en-US"/>
        </w:rPr>
        <w:t xml:space="preserve">) Pre and postoperative LKA and correction in the studied groups </w:t>
      </w:r>
    </w:p>
    <w:tbl>
      <w:tblPr>
        <w:tblW w:w="8585" w:type="dxa"/>
        <w:tblBorders>
          <w:top w:val="single" w:sz="12" w:space="0" w:color="auto"/>
          <w:bottom w:val="single" w:sz="12" w:space="0" w:color="auto"/>
        </w:tblBorders>
        <w:tblLook w:val="04A0" w:firstRow="1" w:lastRow="0" w:firstColumn="1" w:lastColumn="0" w:noHBand="0" w:noVBand="1"/>
      </w:tblPr>
      <w:tblGrid>
        <w:gridCol w:w="2700"/>
        <w:gridCol w:w="1820"/>
        <w:gridCol w:w="1500"/>
        <w:gridCol w:w="1400"/>
        <w:gridCol w:w="1165"/>
      </w:tblGrid>
      <w:tr w:rsidR="00F130EF" w:rsidRPr="00F130EF" w14:paraId="69B84F81" w14:textId="77777777" w:rsidTr="00A27E1C">
        <w:trPr>
          <w:trHeight w:val="290"/>
        </w:trPr>
        <w:tc>
          <w:tcPr>
            <w:tcW w:w="2700" w:type="dxa"/>
            <w:tcBorders>
              <w:top w:val="single" w:sz="12" w:space="0" w:color="auto"/>
              <w:bottom w:val="single" w:sz="12" w:space="0" w:color="auto"/>
            </w:tcBorders>
            <w:shd w:val="clear" w:color="auto" w:fill="F2F2F2" w:themeFill="background1" w:themeFillShade="F2"/>
            <w:noWrap/>
            <w:vAlign w:val="bottom"/>
            <w:hideMark/>
          </w:tcPr>
          <w:p w14:paraId="7806FF10" w14:textId="77777777" w:rsidR="00F130EF" w:rsidRPr="00F130EF" w:rsidRDefault="00F130EF" w:rsidP="00F130EF">
            <w:pPr>
              <w:rPr>
                <w:lang w:val="en-US"/>
              </w:rPr>
            </w:pPr>
            <w:r w:rsidRPr="00F130EF">
              <w:rPr>
                <w:lang w:val="en-US"/>
              </w:rPr>
              <w:t xml:space="preserve">LKA </w:t>
            </w:r>
          </w:p>
        </w:tc>
        <w:tc>
          <w:tcPr>
            <w:tcW w:w="1820" w:type="dxa"/>
            <w:tcBorders>
              <w:top w:val="single" w:sz="12" w:space="0" w:color="auto"/>
              <w:bottom w:val="single" w:sz="12" w:space="0" w:color="auto"/>
            </w:tcBorders>
            <w:shd w:val="clear" w:color="auto" w:fill="F2F2F2" w:themeFill="background1" w:themeFillShade="F2"/>
            <w:noWrap/>
            <w:vAlign w:val="bottom"/>
            <w:hideMark/>
          </w:tcPr>
          <w:p w14:paraId="3F73FAEE"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5F6E4883" w14:textId="77777777" w:rsidR="00F130EF" w:rsidRPr="00F130EF" w:rsidRDefault="00F130EF" w:rsidP="00F130EF">
            <w:pPr>
              <w:rPr>
                <w:lang w:val="en-US"/>
              </w:rPr>
            </w:pPr>
            <w:r w:rsidRPr="00F130EF">
              <w:rPr>
                <w:lang w:val="en-US"/>
              </w:rPr>
              <w:t>Group A</w:t>
            </w:r>
          </w:p>
          <w:p w14:paraId="24E0B171"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5B040C73" w14:textId="77777777" w:rsidR="00F130EF" w:rsidRPr="00F130EF" w:rsidRDefault="00F130EF" w:rsidP="00F130EF">
            <w:pPr>
              <w:rPr>
                <w:lang w:val="en-US"/>
              </w:rPr>
            </w:pPr>
            <w:r w:rsidRPr="00F130EF">
              <w:rPr>
                <w:lang w:val="en-US"/>
              </w:rPr>
              <w:t>Group B</w:t>
            </w:r>
          </w:p>
          <w:p w14:paraId="455E6DCC"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52A6F2AA" w14:textId="77777777" w:rsidR="00F130EF" w:rsidRPr="00F130EF" w:rsidRDefault="00F130EF" w:rsidP="00F130EF">
            <w:pPr>
              <w:rPr>
                <w:lang w:val="en-US"/>
              </w:rPr>
            </w:pPr>
            <w:r w:rsidRPr="00F130EF">
              <w:rPr>
                <w:lang w:val="en-US"/>
              </w:rPr>
              <w:t>P-value</w:t>
            </w:r>
          </w:p>
        </w:tc>
      </w:tr>
      <w:tr w:rsidR="00F130EF" w:rsidRPr="00F130EF" w14:paraId="05B9C11B" w14:textId="77777777" w:rsidTr="00A27E1C">
        <w:trPr>
          <w:trHeight w:val="290"/>
        </w:trPr>
        <w:tc>
          <w:tcPr>
            <w:tcW w:w="2700" w:type="dxa"/>
            <w:shd w:val="clear" w:color="auto" w:fill="auto"/>
            <w:noWrap/>
            <w:vAlign w:val="bottom"/>
            <w:hideMark/>
          </w:tcPr>
          <w:p w14:paraId="5ECEE958" w14:textId="77777777" w:rsidR="00F130EF" w:rsidRPr="00F130EF" w:rsidRDefault="00F130EF" w:rsidP="00F130EF">
            <w:pPr>
              <w:rPr>
                <w:lang w:val="en-US"/>
              </w:rPr>
            </w:pPr>
            <w:r w:rsidRPr="00F130EF">
              <w:rPr>
                <w:lang w:val="en-US"/>
              </w:rPr>
              <w:t>Preoperative (degrees)</w:t>
            </w:r>
          </w:p>
        </w:tc>
        <w:tc>
          <w:tcPr>
            <w:tcW w:w="1820" w:type="dxa"/>
            <w:shd w:val="clear" w:color="auto" w:fill="auto"/>
            <w:noWrap/>
            <w:vAlign w:val="bottom"/>
            <w:hideMark/>
          </w:tcPr>
          <w:p w14:paraId="42DABADF"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5C3FD80C" w14:textId="77777777" w:rsidR="00F130EF" w:rsidRPr="00F130EF" w:rsidRDefault="00F130EF" w:rsidP="00F130EF">
            <w:pPr>
              <w:rPr>
                <w:lang w:val="en-US"/>
              </w:rPr>
            </w:pPr>
            <w:r w:rsidRPr="00F130EF">
              <w:rPr>
                <w:lang w:val="en-US"/>
              </w:rPr>
              <w:t>31 (24 - 36)</w:t>
            </w:r>
          </w:p>
        </w:tc>
        <w:tc>
          <w:tcPr>
            <w:tcW w:w="1400" w:type="dxa"/>
            <w:shd w:val="clear" w:color="auto" w:fill="auto"/>
            <w:noWrap/>
            <w:vAlign w:val="bottom"/>
            <w:hideMark/>
          </w:tcPr>
          <w:p w14:paraId="185038CD" w14:textId="77777777" w:rsidR="00F130EF" w:rsidRPr="00F130EF" w:rsidRDefault="00F130EF" w:rsidP="00F130EF">
            <w:pPr>
              <w:rPr>
                <w:lang w:val="en-US"/>
              </w:rPr>
            </w:pPr>
            <w:r w:rsidRPr="00F130EF">
              <w:rPr>
                <w:lang w:val="en-US"/>
              </w:rPr>
              <w:t>33 (29 - 41)</w:t>
            </w:r>
          </w:p>
        </w:tc>
        <w:tc>
          <w:tcPr>
            <w:tcW w:w="1165" w:type="dxa"/>
            <w:shd w:val="clear" w:color="auto" w:fill="auto"/>
            <w:noWrap/>
            <w:vAlign w:val="bottom"/>
            <w:hideMark/>
          </w:tcPr>
          <w:p w14:paraId="589FCE4A" w14:textId="77777777" w:rsidR="00F130EF" w:rsidRPr="00F130EF" w:rsidRDefault="00F130EF" w:rsidP="00F130EF">
            <w:pPr>
              <w:rPr>
                <w:lang w:val="en-US"/>
              </w:rPr>
            </w:pPr>
            <w:r w:rsidRPr="00F130EF">
              <w:rPr>
                <w:lang w:val="en-US"/>
              </w:rPr>
              <w:t>0.149</w:t>
            </w:r>
          </w:p>
        </w:tc>
      </w:tr>
      <w:tr w:rsidR="00F130EF" w:rsidRPr="00F130EF" w14:paraId="477674BA" w14:textId="77777777" w:rsidTr="00A27E1C">
        <w:trPr>
          <w:trHeight w:val="290"/>
        </w:trPr>
        <w:tc>
          <w:tcPr>
            <w:tcW w:w="2700" w:type="dxa"/>
            <w:shd w:val="clear" w:color="auto" w:fill="auto"/>
            <w:noWrap/>
            <w:vAlign w:val="bottom"/>
            <w:hideMark/>
          </w:tcPr>
          <w:p w14:paraId="4231E294" w14:textId="77777777" w:rsidR="00F130EF" w:rsidRPr="00F130EF" w:rsidRDefault="00F130EF" w:rsidP="00F130EF">
            <w:pPr>
              <w:rPr>
                <w:lang w:val="en-US"/>
              </w:rPr>
            </w:pPr>
            <w:r w:rsidRPr="00F130EF">
              <w:rPr>
                <w:lang w:val="en-US"/>
              </w:rPr>
              <w:t>Postoperative (degrees)</w:t>
            </w:r>
          </w:p>
        </w:tc>
        <w:tc>
          <w:tcPr>
            <w:tcW w:w="1820" w:type="dxa"/>
            <w:shd w:val="clear" w:color="auto" w:fill="auto"/>
            <w:noWrap/>
            <w:vAlign w:val="bottom"/>
            <w:hideMark/>
          </w:tcPr>
          <w:p w14:paraId="0ECE2355"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152E2602" w14:textId="77777777" w:rsidR="00F130EF" w:rsidRPr="00F130EF" w:rsidRDefault="00F130EF" w:rsidP="00F130EF">
            <w:pPr>
              <w:rPr>
                <w:lang w:val="en-US"/>
              </w:rPr>
            </w:pPr>
            <w:r w:rsidRPr="00F130EF">
              <w:rPr>
                <w:lang w:val="en-US"/>
              </w:rPr>
              <w:t>11 (4 - 15)</w:t>
            </w:r>
          </w:p>
        </w:tc>
        <w:tc>
          <w:tcPr>
            <w:tcW w:w="1400" w:type="dxa"/>
            <w:shd w:val="clear" w:color="auto" w:fill="auto"/>
            <w:noWrap/>
            <w:vAlign w:val="bottom"/>
            <w:hideMark/>
          </w:tcPr>
          <w:p w14:paraId="2674E20F" w14:textId="77777777" w:rsidR="00F130EF" w:rsidRPr="00F130EF" w:rsidRDefault="00F130EF" w:rsidP="00F130EF">
            <w:pPr>
              <w:rPr>
                <w:lang w:val="en-US"/>
              </w:rPr>
            </w:pPr>
            <w:r w:rsidRPr="00F130EF">
              <w:rPr>
                <w:lang w:val="en-US"/>
              </w:rPr>
              <w:t>9 (7 - 14)</w:t>
            </w:r>
          </w:p>
        </w:tc>
        <w:tc>
          <w:tcPr>
            <w:tcW w:w="1165" w:type="dxa"/>
            <w:shd w:val="clear" w:color="auto" w:fill="auto"/>
            <w:noWrap/>
            <w:vAlign w:val="bottom"/>
            <w:hideMark/>
          </w:tcPr>
          <w:p w14:paraId="6D11304A" w14:textId="77777777" w:rsidR="00F130EF" w:rsidRPr="00F130EF" w:rsidRDefault="00F130EF" w:rsidP="00F130EF">
            <w:pPr>
              <w:rPr>
                <w:lang w:val="en-US"/>
              </w:rPr>
            </w:pPr>
            <w:r w:rsidRPr="00F130EF">
              <w:rPr>
                <w:lang w:val="en-US"/>
              </w:rPr>
              <w:t>0.961</w:t>
            </w:r>
          </w:p>
        </w:tc>
      </w:tr>
      <w:tr w:rsidR="00F130EF" w:rsidRPr="00F130EF" w14:paraId="7086B95D" w14:textId="77777777" w:rsidTr="00A27E1C">
        <w:trPr>
          <w:trHeight w:val="290"/>
        </w:trPr>
        <w:tc>
          <w:tcPr>
            <w:tcW w:w="2700" w:type="dxa"/>
            <w:shd w:val="clear" w:color="auto" w:fill="auto"/>
            <w:noWrap/>
            <w:vAlign w:val="bottom"/>
            <w:hideMark/>
          </w:tcPr>
          <w:p w14:paraId="2668E880" w14:textId="77777777" w:rsidR="00F130EF" w:rsidRPr="00F130EF" w:rsidRDefault="00F130EF" w:rsidP="00F130EF">
            <w:pPr>
              <w:rPr>
                <w:lang w:val="en-US"/>
              </w:rPr>
            </w:pPr>
            <w:r w:rsidRPr="00F130EF">
              <w:rPr>
                <w:lang w:val="en-US"/>
              </w:rPr>
              <w:lastRenderedPageBreak/>
              <w:t>Correction (degrees)</w:t>
            </w:r>
          </w:p>
        </w:tc>
        <w:tc>
          <w:tcPr>
            <w:tcW w:w="1820" w:type="dxa"/>
            <w:shd w:val="clear" w:color="auto" w:fill="auto"/>
            <w:noWrap/>
            <w:vAlign w:val="bottom"/>
            <w:hideMark/>
          </w:tcPr>
          <w:p w14:paraId="21AC43AE"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68AD2122" w14:textId="77777777" w:rsidR="00F130EF" w:rsidRPr="00F130EF" w:rsidRDefault="00F130EF" w:rsidP="00F130EF">
            <w:pPr>
              <w:rPr>
                <w:lang w:val="en-US"/>
              </w:rPr>
            </w:pPr>
            <w:r w:rsidRPr="00F130EF">
              <w:rPr>
                <w:lang w:val="en-US"/>
              </w:rPr>
              <w:t>21 (18 - 23)</w:t>
            </w:r>
          </w:p>
        </w:tc>
        <w:tc>
          <w:tcPr>
            <w:tcW w:w="1400" w:type="dxa"/>
            <w:shd w:val="clear" w:color="auto" w:fill="auto"/>
            <w:noWrap/>
            <w:vAlign w:val="bottom"/>
            <w:hideMark/>
          </w:tcPr>
          <w:p w14:paraId="54DCF4A9" w14:textId="77777777" w:rsidR="00F130EF" w:rsidRPr="00F130EF" w:rsidRDefault="00F130EF" w:rsidP="00F130EF">
            <w:pPr>
              <w:rPr>
                <w:lang w:val="en-US"/>
              </w:rPr>
            </w:pPr>
            <w:r w:rsidRPr="00F130EF">
              <w:rPr>
                <w:lang w:val="en-US"/>
              </w:rPr>
              <w:t>24 (0 - 30)</w:t>
            </w:r>
          </w:p>
        </w:tc>
        <w:tc>
          <w:tcPr>
            <w:tcW w:w="1165" w:type="dxa"/>
            <w:shd w:val="clear" w:color="auto" w:fill="auto"/>
            <w:noWrap/>
            <w:vAlign w:val="bottom"/>
            <w:hideMark/>
          </w:tcPr>
          <w:p w14:paraId="3BA2D308" w14:textId="77777777" w:rsidR="00F130EF" w:rsidRPr="00F130EF" w:rsidRDefault="00F130EF" w:rsidP="00F130EF">
            <w:pPr>
              <w:rPr>
                <w:lang w:val="en-US"/>
              </w:rPr>
            </w:pPr>
            <w:r w:rsidRPr="00F130EF">
              <w:rPr>
                <w:lang w:val="en-US"/>
              </w:rPr>
              <w:t>0.024*</w:t>
            </w:r>
          </w:p>
        </w:tc>
      </w:tr>
    </w:tbl>
    <w:p w14:paraId="6DD2D553" w14:textId="525EC3C4" w:rsidR="00F130EF" w:rsidRDefault="00F130EF" w:rsidP="00F130EF">
      <w:pPr>
        <w:rPr>
          <w:lang w:val="en-US"/>
        </w:rPr>
      </w:pPr>
      <w:r w:rsidRPr="00F130EF">
        <w:rPr>
          <w:lang w:val="en-US"/>
        </w:rPr>
        <w:t>* Significant P-value; LKA: Local Kyphotic Angle</w:t>
      </w:r>
    </w:p>
    <w:p w14:paraId="4E56D899" w14:textId="7EAD05A4" w:rsidR="00F130EF" w:rsidRPr="00F130EF" w:rsidRDefault="00F130EF" w:rsidP="00F130EF">
      <w:pPr>
        <w:rPr>
          <w:lang w:val="en-US"/>
        </w:rPr>
      </w:pPr>
      <w:r w:rsidRPr="00F130EF">
        <w:rPr>
          <w:lang w:val="en-US"/>
        </w:rPr>
        <w:t>Table (</w:t>
      </w:r>
      <w:r>
        <w:rPr>
          <w:lang w:val="en-US"/>
        </w:rPr>
        <w:t>9</w:t>
      </w:r>
      <w:r w:rsidRPr="00F130EF">
        <w:rPr>
          <w:lang w:val="en-US"/>
        </w:rPr>
        <w:t xml:space="preserve">) Hospital stay in the studied </w:t>
      </w:r>
      <w:proofErr w:type="gramStart"/>
      <w:r w:rsidRPr="00F130EF">
        <w:rPr>
          <w:lang w:val="en-US"/>
        </w:rPr>
        <w:t>groups</w:t>
      </w:r>
      <w:proofErr w:type="gramEnd"/>
      <w:r w:rsidRPr="00F130EF">
        <w:rPr>
          <w:lang w:val="en-US"/>
        </w:rPr>
        <w:t xml:space="preserve"> </w:t>
      </w:r>
    </w:p>
    <w:tbl>
      <w:tblPr>
        <w:tblW w:w="8225" w:type="dxa"/>
        <w:tblBorders>
          <w:top w:val="single" w:sz="12" w:space="0" w:color="auto"/>
          <w:bottom w:val="single" w:sz="12" w:space="0" w:color="auto"/>
        </w:tblBorders>
        <w:tblLook w:val="04A0" w:firstRow="1" w:lastRow="0" w:firstColumn="1" w:lastColumn="0" w:noHBand="0" w:noVBand="1"/>
      </w:tblPr>
      <w:tblGrid>
        <w:gridCol w:w="2340"/>
        <w:gridCol w:w="1820"/>
        <w:gridCol w:w="1500"/>
        <w:gridCol w:w="1400"/>
        <w:gridCol w:w="1165"/>
      </w:tblGrid>
      <w:tr w:rsidR="00F130EF" w:rsidRPr="00F130EF" w14:paraId="5B652DB7" w14:textId="77777777" w:rsidTr="00A27E1C">
        <w:trPr>
          <w:trHeight w:val="290"/>
        </w:trPr>
        <w:tc>
          <w:tcPr>
            <w:tcW w:w="2340" w:type="dxa"/>
            <w:tcBorders>
              <w:top w:val="single" w:sz="12" w:space="0" w:color="auto"/>
              <w:bottom w:val="single" w:sz="12" w:space="0" w:color="auto"/>
            </w:tcBorders>
            <w:shd w:val="clear" w:color="auto" w:fill="F2F2F2" w:themeFill="background1" w:themeFillShade="F2"/>
            <w:noWrap/>
            <w:vAlign w:val="bottom"/>
            <w:hideMark/>
          </w:tcPr>
          <w:p w14:paraId="74C04C88" w14:textId="77777777" w:rsidR="00F130EF" w:rsidRPr="00F130EF" w:rsidRDefault="00F130EF" w:rsidP="00F130EF">
            <w:pPr>
              <w:rPr>
                <w:lang w:val="en-US"/>
              </w:rPr>
            </w:pPr>
          </w:p>
        </w:tc>
        <w:tc>
          <w:tcPr>
            <w:tcW w:w="1820" w:type="dxa"/>
            <w:tcBorders>
              <w:top w:val="single" w:sz="12" w:space="0" w:color="auto"/>
              <w:bottom w:val="single" w:sz="12" w:space="0" w:color="auto"/>
            </w:tcBorders>
            <w:shd w:val="clear" w:color="auto" w:fill="F2F2F2" w:themeFill="background1" w:themeFillShade="F2"/>
            <w:noWrap/>
            <w:vAlign w:val="bottom"/>
            <w:hideMark/>
          </w:tcPr>
          <w:p w14:paraId="1044ED47"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3F4F779D" w14:textId="77777777" w:rsidR="00F130EF" w:rsidRPr="00F130EF" w:rsidRDefault="00F130EF" w:rsidP="00F130EF">
            <w:pPr>
              <w:rPr>
                <w:lang w:val="en-US"/>
              </w:rPr>
            </w:pPr>
            <w:r w:rsidRPr="00F130EF">
              <w:rPr>
                <w:lang w:val="en-US"/>
              </w:rPr>
              <w:t>Group A</w:t>
            </w:r>
          </w:p>
          <w:p w14:paraId="66AC8C10"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04862D57" w14:textId="77777777" w:rsidR="00F130EF" w:rsidRPr="00F130EF" w:rsidRDefault="00F130EF" w:rsidP="00F130EF">
            <w:pPr>
              <w:rPr>
                <w:lang w:val="en-US"/>
              </w:rPr>
            </w:pPr>
            <w:r w:rsidRPr="00F130EF">
              <w:rPr>
                <w:lang w:val="en-US"/>
              </w:rPr>
              <w:t>Group B</w:t>
            </w:r>
          </w:p>
          <w:p w14:paraId="2A8608D2"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730D2C30" w14:textId="77777777" w:rsidR="00F130EF" w:rsidRPr="00F130EF" w:rsidRDefault="00F130EF" w:rsidP="00F130EF">
            <w:pPr>
              <w:rPr>
                <w:lang w:val="en-US"/>
              </w:rPr>
            </w:pPr>
            <w:r w:rsidRPr="00F130EF">
              <w:rPr>
                <w:lang w:val="en-US"/>
              </w:rPr>
              <w:t>P-value</w:t>
            </w:r>
          </w:p>
        </w:tc>
      </w:tr>
      <w:tr w:rsidR="00F130EF" w:rsidRPr="00F130EF" w14:paraId="1D5BC72E" w14:textId="77777777" w:rsidTr="00A27E1C">
        <w:trPr>
          <w:trHeight w:val="290"/>
        </w:trPr>
        <w:tc>
          <w:tcPr>
            <w:tcW w:w="2340" w:type="dxa"/>
            <w:shd w:val="clear" w:color="auto" w:fill="auto"/>
            <w:noWrap/>
            <w:vAlign w:val="bottom"/>
            <w:hideMark/>
          </w:tcPr>
          <w:p w14:paraId="53979E1F" w14:textId="77777777" w:rsidR="00F130EF" w:rsidRPr="00F130EF" w:rsidRDefault="00F130EF" w:rsidP="00F130EF">
            <w:pPr>
              <w:rPr>
                <w:lang w:val="en-US"/>
              </w:rPr>
            </w:pPr>
            <w:r w:rsidRPr="00F130EF">
              <w:rPr>
                <w:lang w:val="en-US"/>
              </w:rPr>
              <w:t xml:space="preserve">Hospital </w:t>
            </w:r>
            <w:proofErr w:type="gramStart"/>
            <w:r w:rsidRPr="00F130EF">
              <w:rPr>
                <w:lang w:val="en-US"/>
              </w:rPr>
              <w:t>stay</w:t>
            </w:r>
            <w:proofErr w:type="gramEnd"/>
            <w:r w:rsidRPr="00F130EF">
              <w:rPr>
                <w:lang w:val="en-US"/>
              </w:rPr>
              <w:t xml:space="preserve"> (days)</w:t>
            </w:r>
          </w:p>
        </w:tc>
        <w:tc>
          <w:tcPr>
            <w:tcW w:w="1820" w:type="dxa"/>
            <w:shd w:val="clear" w:color="auto" w:fill="auto"/>
            <w:noWrap/>
            <w:vAlign w:val="bottom"/>
            <w:hideMark/>
          </w:tcPr>
          <w:p w14:paraId="7A99E087" w14:textId="77777777" w:rsidR="00F130EF" w:rsidRPr="00F130EF" w:rsidRDefault="00F130EF" w:rsidP="00F130EF">
            <w:pPr>
              <w:rPr>
                <w:lang w:val="en-US"/>
              </w:rPr>
            </w:pPr>
            <w:r w:rsidRPr="00F130EF">
              <w:rPr>
                <w:lang w:val="en-US"/>
              </w:rPr>
              <w:t>Median (range)</w:t>
            </w:r>
          </w:p>
        </w:tc>
        <w:tc>
          <w:tcPr>
            <w:tcW w:w="1500" w:type="dxa"/>
            <w:shd w:val="clear" w:color="auto" w:fill="auto"/>
            <w:noWrap/>
            <w:vAlign w:val="bottom"/>
            <w:hideMark/>
          </w:tcPr>
          <w:p w14:paraId="7C479001" w14:textId="77777777" w:rsidR="00F130EF" w:rsidRPr="00F130EF" w:rsidRDefault="00F130EF" w:rsidP="00F130EF">
            <w:pPr>
              <w:rPr>
                <w:lang w:val="en-US"/>
              </w:rPr>
            </w:pPr>
            <w:r w:rsidRPr="00F130EF">
              <w:rPr>
                <w:lang w:val="en-US"/>
              </w:rPr>
              <w:t>8 (6 – 15)</w:t>
            </w:r>
          </w:p>
        </w:tc>
        <w:tc>
          <w:tcPr>
            <w:tcW w:w="1400" w:type="dxa"/>
            <w:shd w:val="clear" w:color="auto" w:fill="auto"/>
            <w:noWrap/>
            <w:vAlign w:val="bottom"/>
            <w:hideMark/>
          </w:tcPr>
          <w:p w14:paraId="606C6508" w14:textId="77777777" w:rsidR="00F130EF" w:rsidRPr="00F130EF" w:rsidRDefault="00F130EF" w:rsidP="00F130EF">
            <w:pPr>
              <w:rPr>
                <w:lang w:val="en-US"/>
              </w:rPr>
            </w:pPr>
            <w:r w:rsidRPr="00F130EF">
              <w:rPr>
                <w:lang w:val="en-US"/>
              </w:rPr>
              <w:t>12 (10 – 21)</w:t>
            </w:r>
          </w:p>
        </w:tc>
        <w:tc>
          <w:tcPr>
            <w:tcW w:w="1165" w:type="dxa"/>
            <w:shd w:val="clear" w:color="auto" w:fill="auto"/>
            <w:noWrap/>
            <w:vAlign w:val="bottom"/>
            <w:hideMark/>
          </w:tcPr>
          <w:p w14:paraId="396CC8AF" w14:textId="77777777" w:rsidR="00F130EF" w:rsidRPr="00F130EF" w:rsidRDefault="00F130EF" w:rsidP="00F130EF">
            <w:pPr>
              <w:rPr>
                <w:lang w:val="en-US"/>
              </w:rPr>
            </w:pPr>
            <w:r w:rsidRPr="00F130EF">
              <w:rPr>
                <w:lang w:val="en-US"/>
              </w:rPr>
              <w:t>0.001*</w:t>
            </w:r>
          </w:p>
        </w:tc>
      </w:tr>
    </w:tbl>
    <w:p w14:paraId="64F4EEE0" w14:textId="77777777" w:rsidR="00F130EF" w:rsidRPr="00F130EF" w:rsidRDefault="00F130EF" w:rsidP="00F130EF">
      <w:pPr>
        <w:rPr>
          <w:lang w:val="en-US"/>
        </w:rPr>
      </w:pPr>
      <w:r w:rsidRPr="00F130EF">
        <w:rPr>
          <w:lang w:val="en-US"/>
        </w:rPr>
        <w:t>*Significant</w:t>
      </w:r>
    </w:p>
    <w:p w14:paraId="25B34743" w14:textId="4829F477" w:rsidR="00F130EF" w:rsidRPr="00F130EF" w:rsidRDefault="00F130EF" w:rsidP="00F130EF">
      <w:pPr>
        <w:rPr>
          <w:lang w:val="en-US"/>
        </w:rPr>
      </w:pPr>
      <w:r w:rsidRPr="00F130EF">
        <w:rPr>
          <w:lang w:val="en-US"/>
        </w:rPr>
        <w:t>Table (1</w:t>
      </w:r>
      <w:r>
        <w:rPr>
          <w:lang w:val="en-US"/>
        </w:rPr>
        <w:t>0</w:t>
      </w:r>
      <w:r w:rsidRPr="00F130EF">
        <w:rPr>
          <w:lang w:val="en-US"/>
        </w:rPr>
        <w:t xml:space="preserve">) Operative time and blood loss in the studied groups </w:t>
      </w:r>
    </w:p>
    <w:tbl>
      <w:tblPr>
        <w:tblW w:w="8368" w:type="dxa"/>
        <w:tblBorders>
          <w:top w:val="single" w:sz="12" w:space="0" w:color="auto"/>
          <w:bottom w:val="single" w:sz="12" w:space="0" w:color="auto"/>
        </w:tblBorders>
        <w:tblLook w:val="04A0" w:firstRow="1" w:lastRow="0" w:firstColumn="1" w:lastColumn="0" w:noHBand="0" w:noVBand="1"/>
      </w:tblPr>
      <w:tblGrid>
        <w:gridCol w:w="2700"/>
        <w:gridCol w:w="1822"/>
        <w:gridCol w:w="1260"/>
        <w:gridCol w:w="1476"/>
        <w:gridCol w:w="1110"/>
      </w:tblGrid>
      <w:tr w:rsidR="00F130EF" w:rsidRPr="00F130EF" w14:paraId="29FCCDB7" w14:textId="77777777" w:rsidTr="00A27E1C">
        <w:trPr>
          <w:trHeight w:val="290"/>
        </w:trPr>
        <w:tc>
          <w:tcPr>
            <w:tcW w:w="2700" w:type="dxa"/>
            <w:tcBorders>
              <w:top w:val="single" w:sz="12" w:space="0" w:color="auto"/>
              <w:bottom w:val="single" w:sz="12" w:space="0" w:color="auto"/>
            </w:tcBorders>
            <w:shd w:val="clear" w:color="auto" w:fill="F2F2F2" w:themeFill="background1" w:themeFillShade="F2"/>
            <w:noWrap/>
            <w:vAlign w:val="bottom"/>
            <w:hideMark/>
          </w:tcPr>
          <w:p w14:paraId="69C1ACDB" w14:textId="77777777" w:rsidR="00F130EF" w:rsidRPr="00F130EF" w:rsidRDefault="00F130EF" w:rsidP="00F130EF">
            <w:pPr>
              <w:rPr>
                <w:lang w:val="en-US"/>
              </w:rPr>
            </w:pPr>
          </w:p>
        </w:tc>
        <w:tc>
          <w:tcPr>
            <w:tcW w:w="1822" w:type="dxa"/>
            <w:tcBorders>
              <w:top w:val="single" w:sz="12" w:space="0" w:color="auto"/>
              <w:bottom w:val="single" w:sz="12" w:space="0" w:color="auto"/>
            </w:tcBorders>
            <w:shd w:val="clear" w:color="auto" w:fill="F2F2F2" w:themeFill="background1" w:themeFillShade="F2"/>
            <w:noWrap/>
            <w:vAlign w:val="bottom"/>
            <w:hideMark/>
          </w:tcPr>
          <w:p w14:paraId="46112D64" w14:textId="77777777" w:rsidR="00F130EF" w:rsidRPr="00F130EF" w:rsidRDefault="00F130EF" w:rsidP="00F130EF">
            <w:pPr>
              <w:rPr>
                <w:lang w:val="en-US"/>
              </w:rPr>
            </w:pPr>
          </w:p>
        </w:tc>
        <w:tc>
          <w:tcPr>
            <w:tcW w:w="1260" w:type="dxa"/>
            <w:tcBorders>
              <w:top w:val="single" w:sz="12" w:space="0" w:color="auto"/>
              <w:bottom w:val="single" w:sz="12" w:space="0" w:color="auto"/>
            </w:tcBorders>
            <w:shd w:val="clear" w:color="auto" w:fill="F2F2F2" w:themeFill="background1" w:themeFillShade="F2"/>
            <w:noWrap/>
            <w:vAlign w:val="bottom"/>
            <w:hideMark/>
          </w:tcPr>
          <w:p w14:paraId="1C073B62" w14:textId="77777777" w:rsidR="00F130EF" w:rsidRPr="00F130EF" w:rsidRDefault="00F130EF" w:rsidP="00F130EF">
            <w:pPr>
              <w:rPr>
                <w:lang w:val="en-US"/>
              </w:rPr>
            </w:pPr>
            <w:r w:rsidRPr="00F130EF">
              <w:rPr>
                <w:lang w:val="en-US"/>
              </w:rPr>
              <w:t>Group A</w:t>
            </w:r>
          </w:p>
          <w:p w14:paraId="5C7DE136" w14:textId="77777777" w:rsidR="00F130EF" w:rsidRPr="00F130EF" w:rsidRDefault="00F130EF" w:rsidP="00F130EF">
            <w:pPr>
              <w:rPr>
                <w:lang w:val="en-US"/>
              </w:rPr>
            </w:pPr>
            <w:r w:rsidRPr="00F130EF">
              <w:rPr>
                <w:lang w:val="en-US"/>
              </w:rPr>
              <w:t>(n = 15)</w:t>
            </w:r>
          </w:p>
        </w:tc>
        <w:tc>
          <w:tcPr>
            <w:tcW w:w="1476" w:type="dxa"/>
            <w:tcBorders>
              <w:top w:val="single" w:sz="12" w:space="0" w:color="auto"/>
              <w:bottom w:val="single" w:sz="12" w:space="0" w:color="auto"/>
            </w:tcBorders>
            <w:shd w:val="clear" w:color="auto" w:fill="F2F2F2" w:themeFill="background1" w:themeFillShade="F2"/>
            <w:noWrap/>
            <w:vAlign w:val="bottom"/>
            <w:hideMark/>
          </w:tcPr>
          <w:p w14:paraId="6435C0D0" w14:textId="77777777" w:rsidR="00F130EF" w:rsidRPr="00F130EF" w:rsidRDefault="00F130EF" w:rsidP="00F130EF">
            <w:pPr>
              <w:rPr>
                <w:lang w:val="en-US"/>
              </w:rPr>
            </w:pPr>
            <w:r w:rsidRPr="00F130EF">
              <w:rPr>
                <w:lang w:val="en-US"/>
              </w:rPr>
              <w:t>Group B</w:t>
            </w:r>
          </w:p>
          <w:p w14:paraId="7D32D07D" w14:textId="77777777" w:rsidR="00F130EF" w:rsidRPr="00F130EF" w:rsidRDefault="00F130EF" w:rsidP="00F130EF">
            <w:pPr>
              <w:rPr>
                <w:lang w:val="en-US"/>
              </w:rPr>
            </w:pPr>
            <w:r w:rsidRPr="00F130EF">
              <w:rPr>
                <w:lang w:val="en-US"/>
              </w:rPr>
              <w:t>(n = 15)</w:t>
            </w:r>
          </w:p>
        </w:tc>
        <w:tc>
          <w:tcPr>
            <w:tcW w:w="1110" w:type="dxa"/>
            <w:tcBorders>
              <w:top w:val="single" w:sz="12" w:space="0" w:color="auto"/>
              <w:bottom w:val="single" w:sz="12" w:space="0" w:color="auto"/>
            </w:tcBorders>
            <w:shd w:val="clear" w:color="auto" w:fill="F2F2F2" w:themeFill="background1" w:themeFillShade="F2"/>
            <w:noWrap/>
            <w:vAlign w:val="bottom"/>
            <w:hideMark/>
          </w:tcPr>
          <w:p w14:paraId="21753EF4" w14:textId="77777777" w:rsidR="00F130EF" w:rsidRPr="00F130EF" w:rsidRDefault="00F130EF" w:rsidP="00F130EF">
            <w:pPr>
              <w:rPr>
                <w:lang w:val="en-US"/>
              </w:rPr>
            </w:pPr>
            <w:r w:rsidRPr="00F130EF">
              <w:rPr>
                <w:lang w:val="en-US"/>
              </w:rPr>
              <w:t>P-value</w:t>
            </w:r>
          </w:p>
        </w:tc>
      </w:tr>
      <w:tr w:rsidR="00F130EF" w:rsidRPr="00F130EF" w14:paraId="27352CBE" w14:textId="77777777" w:rsidTr="00A27E1C">
        <w:trPr>
          <w:trHeight w:val="290"/>
        </w:trPr>
        <w:tc>
          <w:tcPr>
            <w:tcW w:w="2700" w:type="dxa"/>
            <w:shd w:val="clear" w:color="auto" w:fill="auto"/>
            <w:noWrap/>
            <w:vAlign w:val="bottom"/>
            <w:hideMark/>
          </w:tcPr>
          <w:p w14:paraId="626CAC5C" w14:textId="77777777" w:rsidR="00F130EF" w:rsidRPr="00F130EF" w:rsidRDefault="00F130EF" w:rsidP="00F130EF">
            <w:pPr>
              <w:rPr>
                <w:lang w:val="en-US"/>
              </w:rPr>
            </w:pPr>
            <w:r w:rsidRPr="00F130EF">
              <w:rPr>
                <w:lang w:val="en-US"/>
              </w:rPr>
              <w:t>Operation time (min.)</w:t>
            </w:r>
          </w:p>
        </w:tc>
        <w:tc>
          <w:tcPr>
            <w:tcW w:w="1822" w:type="dxa"/>
            <w:shd w:val="clear" w:color="auto" w:fill="auto"/>
            <w:noWrap/>
            <w:vAlign w:val="bottom"/>
            <w:hideMark/>
          </w:tcPr>
          <w:p w14:paraId="7E1D3F2D" w14:textId="77777777" w:rsidR="00F130EF" w:rsidRPr="00F130EF" w:rsidRDefault="00F130EF" w:rsidP="00F130EF">
            <w:pPr>
              <w:rPr>
                <w:lang w:val="en-US"/>
              </w:rPr>
            </w:pPr>
            <w:r w:rsidRPr="00F130EF">
              <w:rPr>
                <w:lang w:val="en-US"/>
              </w:rPr>
              <w:t>Mean ±SD</w:t>
            </w:r>
          </w:p>
        </w:tc>
        <w:tc>
          <w:tcPr>
            <w:tcW w:w="1260" w:type="dxa"/>
            <w:shd w:val="clear" w:color="auto" w:fill="auto"/>
            <w:noWrap/>
            <w:vAlign w:val="bottom"/>
            <w:hideMark/>
          </w:tcPr>
          <w:p w14:paraId="430DA7EB" w14:textId="77777777" w:rsidR="00F130EF" w:rsidRPr="00F130EF" w:rsidRDefault="00F130EF" w:rsidP="00F130EF">
            <w:pPr>
              <w:rPr>
                <w:lang w:val="en-US"/>
              </w:rPr>
            </w:pPr>
            <w:r w:rsidRPr="00F130EF">
              <w:rPr>
                <w:lang w:val="en-US"/>
              </w:rPr>
              <w:t>169 ±22</w:t>
            </w:r>
          </w:p>
        </w:tc>
        <w:tc>
          <w:tcPr>
            <w:tcW w:w="1476" w:type="dxa"/>
            <w:shd w:val="clear" w:color="auto" w:fill="auto"/>
            <w:noWrap/>
            <w:vAlign w:val="bottom"/>
            <w:hideMark/>
          </w:tcPr>
          <w:p w14:paraId="7DEFC4E6" w14:textId="77777777" w:rsidR="00F130EF" w:rsidRPr="00F130EF" w:rsidRDefault="00F130EF" w:rsidP="00F130EF">
            <w:pPr>
              <w:rPr>
                <w:lang w:val="en-US"/>
              </w:rPr>
            </w:pPr>
            <w:r w:rsidRPr="00F130EF">
              <w:rPr>
                <w:lang w:val="en-US"/>
              </w:rPr>
              <w:t>194 ±25</w:t>
            </w:r>
          </w:p>
        </w:tc>
        <w:tc>
          <w:tcPr>
            <w:tcW w:w="1110" w:type="dxa"/>
            <w:shd w:val="clear" w:color="auto" w:fill="auto"/>
            <w:noWrap/>
            <w:vAlign w:val="bottom"/>
            <w:hideMark/>
          </w:tcPr>
          <w:p w14:paraId="7261A649" w14:textId="77777777" w:rsidR="00F130EF" w:rsidRPr="00F130EF" w:rsidRDefault="00F130EF" w:rsidP="00F130EF">
            <w:pPr>
              <w:rPr>
                <w:lang w:val="en-US"/>
              </w:rPr>
            </w:pPr>
            <w:r w:rsidRPr="00F130EF">
              <w:rPr>
                <w:lang w:val="en-US"/>
              </w:rPr>
              <w:t>0.008*</w:t>
            </w:r>
          </w:p>
        </w:tc>
      </w:tr>
      <w:tr w:rsidR="00F130EF" w:rsidRPr="00F130EF" w14:paraId="1852000B" w14:textId="77777777" w:rsidTr="00A27E1C">
        <w:trPr>
          <w:trHeight w:val="290"/>
        </w:trPr>
        <w:tc>
          <w:tcPr>
            <w:tcW w:w="2700" w:type="dxa"/>
            <w:shd w:val="clear" w:color="auto" w:fill="auto"/>
            <w:noWrap/>
            <w:vAlign w:val="bottom"/>
            <w:hideMark/>
          </w:tcPr>
          <w:p w14:paraId="3E022FFE" w14:textId="77777777" w:rsidR="00F130EF" w:rsidRPr="00F130EF" w:rsidRDefault="00F130EF" w:rsidP="00F130EF">
            <w:pPr>
              <w:rPr>
                <w:lang w:val="en-US"/>
              </w:rPr>
            </w:pPr>
            <w:r w:rsidRPr="00F130EF">
              <w:rPr>
                <w:lang w:val="en-US"/>
              </w:rPr>
              <w:t>Blood loss (ml)</w:t>
            </w:r>
          </w:p>
        </w:tc>
        <w:tc>
          <w:tcPr>
            <w:tcW w:w="1822" w:type="dxa"/>
            <w:shd w:val="clear" w:color="auto" w:fill="auto"/>
            <w:noWrap/>
            <w:vAlign w:val="bottom"/>
            <w:hideMark/>
          </w:tcPr>
          <w:p w14:paraId="74F7FB3D" w14:textId="77777777" w:rsidR="00F130EF" w:rsidRPr="00F130EF" w:rsidRDefault="00F130EF" w:rsidP="00F130EF">
            <w:pPr>
              <w:rPr>
                <w:lang w:val="en-US"/>
              </w:rPr>
            </w:pPr>
            <w:r w:rsidRPr="00F130EF">
              <w:rPr>
                <w:lang w:val="en-US"/>
              </w:rPr>
              <w:t>Mean ±SD</w:t>
            </w:r>
          </w:p>
        </w:tc>
        <w:tc>
          <w:tcPr>
            <w:tcW w:w="1260" w:type="dxa"/>
            <w:shd w:val="clear" w:color="auto" w:fill="auto"/>
            <w:noWrap/>
            <w:vAlign w:val="bottom"/>
            <w:hideMark/>
          </w:tcPr>
          <w:p w14:paraId="686E3670" w14:textId="77777777" w:rsidR="00F130EF" w:rsidRPr="00F130EF" w:rsidRDefault="00F130EF" w:rsidP="00F130EF">
            <w:pPr>
              <w:rPr>
                <w:lang w:val="en-US"/>
              </w:rPr>
            </w:pPr>
            <w:r w:rsidRPr="00F130EF">
              <w:rPr>
                <w:lang w:val="en-US"/>
              </w:rPr>
              <w:t>661 ±108</w:t>
            </w:r>
          </w:p>
        </w:tc>
        <w:tc>
          <w:tcPr>
            <w:tcW w:w="1476" w:type="dxa"/>
            <w:shd w:val="clear" w:color="auto" w:fill="auto"/>
            <w:noWrap/>
            <w:vAlign w:val="bottom"/>
            <w:hideMark/>
          </w:tcPr>
          <w:p w14:paraId="672B5A73" w14:textId="77777777" w:rsidR="00F130EF" w:rsidRPr="00F130EF" w:rsidRDefault="00F130EF" w:rsidP="00F130EF">
            <w:pPr>
              <w:rPr>
                <w:lang w:val="en-US"/>
              </w:rPr>
            </w:pPr>
            <w:r w:rsidRPr="00F130EF">
              <w:rPr>
                <w:lang w:val="en-US"/>
              </w:rPr>
              <w:t>882 ±132</w:t>
            </w:r>
          </w:p>
        </w:tc>
        <w:tc>
          <w:tcPr>
            <w:tcW w:w="1110" w:type="dxa"/>
            <w:shd w:val="clear" w:color="auto" w:fill="auto"/>
            <w:noWrap/>
            <w:vAlign w:val="bottom"/>
            <w:hideMark/>
          </w:tcPr>
          <w:p w14:paraId="0539DFF9" w14:textId="77777777" w:rsidR="00F130EF" w:rsidRPr="00F130EF" w:rsidRDefault="00F130EF" w:rsidP="00F130EF">
            <w:pPr>
              <w:rPr>
                <w:lang w:val="en-US"/>
              </w:rPr>
            </w:pPr>
            <w:r w:rsidRPr="00F130EF">
              <w:rPr>
                <w:lang w:val="en-US"/>
              </w:rPr>
              <w:t>&lt;0.001*</w:t>
            </w:r>
          </w:p>
        </w:tc>
      </w:tr>
    </w:tbl>
    <w:p w14:paraId="1CD85C66" w14:textId="77777777" w:rsidR="00F130EF" w:rsidRPr="00F130EF" w:rsidRDefault="00F130EF" w:rsidP="00F130EF">
      <w:pPr>
        <w:rPr>
          <w:lang w:val="en-US"/>
        </w:rPr>
      </w:pPr>
      <w:r w:rsidRPr="00F130EF">
        <w:rPr>
          <w:lang w:val="en-US"/>
        </w:rPr>
        <w:t>*Significant P-value</w:t>
      </w:r>
    </w:p>
    <w:p w14:paraId="51097C9D" w14:textId="0AA1B362" w:rsidR="00F130EF" w:rsidRPr="00F130EF" w:rsidRDefault="00F130EF" w:rsidP="00F130EF">
      <w:pPr>
        <w:rPr>
          <w:lang w:val="en-US"/>
        </w:rPr>
      </w:pPr>
      <w:r w:rsidRPr="00F130EF">
        <w:rPr>
          <w:lang w:val="en-US"/>
        </w:rPr>
        <w:t>Table (1</w:t>
      </w:r>
      <w:r>
        <w:rPr>
          <w:lang w:val="en-US"/>
        </w:rPr>
        <w:t>1</w:t>
      </w:r>
      <w:r w:rsidRPr="00F130EF">
        <w:rPr>
          <w:lang w:val="en-US"/>
        </w:rPr>
        <w:t>) Brantigan criteria in the studied groups</w:t>
      </w:r>
      <w:r>
        <w:rPr>
          <w:lang w:val="en-US"/>
        </w:rPr>
        <w:t>.</w:t>
      </w:r>
    </w:p>
    <w:tbl>
      <w:tblPr>
        <w:tblW w:w="7845" w:type="dxa"/>
        <w:tblBorders>
          <w:top w:val="single" w:sz="12" w:space="0" w:color="auto"/>
          <w:bottom w:val="single" w:sz="12" w:space="0" w:color="auto"/>
        </w:tblBorders>
        <w:tblLook w:val="04A0" w:firstRow="1" w:lastRow="0" w:firstColumn="1" w:lastColumn="0" w:noHBand="0" w:noVBand="1"/>
      </w:tblPr>
      <w:tblGrid>
        <w:gridCol w:w="2430"/>
        <w:gridCol w:w="1350"/>
        <w:gridCol w:w="1500"/>
        <w:gridCol w:w="1400"/>
        <w:gridCol w:w="1165"/>
      </w:tblGrid>
      <w:tr w:rsidR="00F130EF" w:rsidRPr="00F130EF" w14:paraId="059A7928" w14:textId="77777777" w:rsidTr="00A27E1C">
        <w:trPr>
          <w:trHeight w:val="290"/>
        </w:trPr>
        <w:tc>
          <w:tcPr>
            <w:tcW w:w="2430" w:type="dxa"/>
            <w:tcBorders>
              <w:top w:val="single" w:sz="12" w:space="0" w:color="auto"/>
              <w:bottom w:val="single" w:sz="12" w:space="0" w:color="auto"/>
            </w:tcBorders>
            <w:shd w:val="clear" w:color="auto" w:fill="F2F2F2" w:themeFill="background1" w:themeFillShade="F2"/>
            <w:noWrap/>
            <w:vAlign w:val="bottom"/>
            <w:hideMark/>
          </w:tcPr>
          <w:p w14:paraId="73FE7530" w14:textId="77777777" w:rsidR="00F130EF" w:rsidRPr="00F130EF" w:rsidRDefault="00F130EF" w:rsidP="00F130EF">
            <w:pPr>
              <w:rPr>
                <w:lang w:val="en-US"/>
              </w:rPr>
            </w:pPr>
          </w:p>
        </w:tc>
        <w:tc>
          <w:tcPr>
            <w:tcW w:w="1350" w:type="dxa"/>
            <w:tcBorders>
              <w:top w:val="single" w:sz="12" w:space="0" w:color="auto"/>
              <w:bottom w:val="single" w:sz="12" w:space="0" w:color="auto"/>
            </w:tcBorders>
            <w:shd w:val="clear" w:color="auto" w:fill="F2F2F2" w:themeFill="background1" w:themeFillShade="F2"/>
            <w:noWrap/>
            <w:vAlign w:val="bottom"/>
            <w:hideMark/>
          </w:tcPr>
          <w:p w14:paraId="03E2B0B2" w14:textId="77777777" w:rsidR="00F130EF" w:rsidRPr="00F130EF" w:rsidRDefault="00F130EF" w:rsidP="00F130EF">
            <w:pPr>
              <w:rPr>
                <w:lang w:val="en-US"/>
              </w:rPr>
            </w:pPr>
          </w:p>
        </w:tc>
        <w:tc>
          <w:tcPr>
            <w:tcW w:w="1500" w:type="dxa"/>
            <w:tcBorders>
              <w:top w:val="single" w:sz="12" w:space="0" w:color="auto"/>
              <w:bottom w:val="single" w:sz="12" w:space="0" w:color="auto"/>
            </w:tcBorders>
            <w:shd w:val="clear" w:color="auto" w:fill="F2F2F2" w:themeFill="background1" w:themeFillShade="F2"/>
            <w:noWrap/>
            <w:vAlign w:val="bottom"/>
            <w:hideMark/>
          </w:tcPr>
          <w:p w14:paraId="2AA152B0" w14:textId="77777777" w:rsidR="00F130EF" w:rsidRPr="00F130EF" w:rsidRDefault="00F130EF" w:rsidP="00F130EF">
            <w:pPr>
              <w:rPr>
                <w:lang w:val="en-US"/>
              </w:rPr>
            </w:pPr>
            <w:r w:rsidRPr="00F130EF">
              <w:rPr>
                <w:lang w:val="en-US"/>
              </w:rPr>
              <w:t>Group A</w:t>
            </w:r>
          </w:p>
          <w:p w14:paraId="09EE025B" w14:textId="77777777" w:rsidR="00F130EF" w:rsidRPr="00F130EF" w:rsidRDefault="00F130EF" w:rsidP="00F130EF">
            <w:pPr>
              <w:rPr>
                <w:lang w:val="en-US"/>
              </w:rPr>
            </w:pPr>
            <w:r w:rsidRPr="00F130EF">
              <w:rPr>
                <w:lang w:val="en-US"/>
              </w:rPr>
              <w:t>(n = 15)</w:t>
            </w:r>
          </w:p>
        </w:tc>
        <w:tc>
          <w:tcPr>
            <w:tcW w:w="1400" w:type="dxa"/>
            <w:tcBorders>
              <w:top w:val="single" w:sz="12" w:space="0" w:color="auto"/>
              <w:bottom w:val="single" w:sz="12" w:space="0" w:color="auto"/>
            </w:tcBorders>
            <w:shd w:val="clear" w:color="auto" w:fill="F2F2F2" w:themeFill="background1" w:themeFillShade="F2"/>
            <w:noWrap/>
            <w:vAlign w:val="bottom"/>
            <w:hideMark/>
          </w:tcPr>
          <w:p w14:paraId="0ADD1D6D" w14:textId="77777777" w:rsidR="00F130EF" w:rsidRPr="00F130EF" w:rsidRDefault="00F130EF" w:rsidP="00F130EF">
            <w:pPr>
              <w:rPr>
                <w:lang w:val="en-US"/>
              </w:rPr>
            </w:pPr>
            <w:r w:rsidRPr="00F130EF">
              <w:rPr>
                <w:lang w:val="en-US"/>
              </w:rPr>
              <w:t>Group B</w:t>
            </w:r>
          </w:p>
          <w:p w14:paraId="5FBE9332" w14:textId="77777777" w:rsidR="00F130EF" w:rsidRPr="00F130EF" w:rsidRDefault="00F130EF" w:rsidP="00F130EF">
            <w:pPr>
              <w:rPr>
                <w:lang w:val="en-US"/>
              </w:rPr>
            </w:pPr>
            <w:r w:rsidRPr="00F130EF">
              <w:rPr>
                <w:lang w:val="en-US"/>
              </w:rPr>
              <w:t>(n = 15)</w:t>
            </w:r>
          </w:p>
        </w:tc>
        <w:tc>
          <w:tcPr>
            <w:tcW w:w="1165" w:type="dxa"/>
            <w:tcBorders>
              <w:top w:val="single" w:sz="12" w:space="0" w:color="auto"/>
              <w:bottom w:val="single" w:sz="12" w:space="0" w:color="auto"/>
            </w:tcBorders>
            <w:shd w:val="clear" w:color="auto" w:fill="F2F2F2" w:themeFill="background1" w:themeFillShade="F2"/>
            <w:noWrap/>
            <w:vAlign w:val="bottom"/>
            <w:hideMark/>
          </w:tcPr>
          <w:p w14:paraId="2D21D2A3" w14:textId="77777777" w:rsidR="00F130EF" w:rsidRPr="00F130EF" w:rsidRDefault="00F130EF" w:rsidP="00F130EF">
            <w:pPr>
              <w:rPr>
                <w:lang w:val="en-US"/>
              </w:rPr>
            </w:pPr>
            <w:r w:rsidRPr="00F130EF">
              <w:rPr>
                <w:lang w:val="en-US"/>
              </w:rPr>
              <w:t>P-value</w:t>
            </w:r>
          </w:p>
        </w:tc>
      </w:tr>
      <w:tr w:rsidR="00F130EF" w:rsidRPr="00F130EF" w14:paraId="61778B3B" w14:textId="77777777" w:rsidTr="00A27E1C">
        <w:trPr>
          <w:trHeight w:val="290"/>
        </w:trPr>
        <w:tc>
          <w:tcPr>
            <w:tcW w:w="2430" w:type="dxa"/>
            <w:shd w:val="clear" w:color="auto" w:fill="auto"/>
            <w:noWrap/>
            <w:vAlign w:val="bottom"/>
            <w:hideMark/>
          </w:tcPr>
          <w:p w14:paraId="1226A104" w14:textId="77777777" w:rsidR="00F130EF" w:rsidRPr="00F130EF" w:rsidRDefault="00F130EF" w:rsidP="00F130EF">
            <w:pPr>
              <w:rPr>
                <w:lang w:val="en-US"/>
              </w:rPr>
            </w:pPr>
            <w:r w:rsidRPr="00F130EF">
              <w:rPr>
                <w:lang w:val="en-US"/>
              </w:rPr>
              <w:t>Brantigan criteria</w:t>
            </w:r>
          </w:p>
        </w:tc>
        <w:tc>
          <w:tcPr>
            <w:tcW w:w="1350" w:type="dxa"/>
            <w:shd w:val="clear" w:color="auto" w:fill="auto"/>
            <w:noWrap/>
            <w:vAlign w:val="bottom"/>
            <w:hideMark/>
          </w:tcPr>
          <w:p w14:paraId="6EFBD3BE" w14:textId="77777777" w:rsidR="00F130EF" w:rsidRPr="00F130EF" w:rsidRDefault="00F130EF" w:rsidP="00F130EF">
            <w:pPr>
              <w:rPr>
                <w:lang w:val="en-US"/>
              </w:rPr>
            </w:pPr>
          </w:p>
        </w:tc>
        <w:tc>
          <w:tcPr>
            <w:tcW w:w="1500" w:type="dxa"/>
            <w:shd w:val="clear" w:color="auto" w:fill="auto"/>
            <w:noWrap/>
            <w:vAlign w:val="bottom"/>
            <w:hideMark/>
          </w:tcPr>
          <w:p w14:paraId="4DF71031" w14:textId="77777777" w:rsidR="00F130EF" w:rsidRPr="00F130EF" w:rsidRDefault="00F130EF" w:rsidP="00F130EF">
            <w:pPr>
              <w:rPr>
                <w:lang w:val="en-US"/>
              </w:rPr>
            </w:pPr>
          </w:p>
        </w:tc>
        <w:tc>
          <w:tcPr>
            <w:tcW w:w="1400" w:type="dxa"/>
            <w:shd w:val="clear" w:color="auto" w:fill="auto"/>
            <w:noWrap/>
            <w:vAlign w:val="bottom"/>
            <w:hideMark/>
          </w:tcPr>
          <w:p w14:paraId="1A34FE7F" w14:textId="77777777" w:rsidR="00F130EF" w:rsidRPr="00F130EF" w:rsidRDefault="00F130EF" w:rsidP="00F130EF">
            <w:pPr>
              <w:rPr>
                <w:lang w:val="en-US"/>
              </w:rPr>
            </w:pPr>
          </w:p>
        </w:tc>
        <w:tc>
          <w:tcPr>
            <w:tcW w:w="1165" w:type="dxa"/>
            <w:shd w:val="clear" w:color="auto" w:fill="auto"/>
            <w:noWrap/>
            <w:vAlign w:val="bottom"/>
            <w:hideMark/>
          </w:tcPr>
          <w:p w14:paraId="7E1407AE" w14:textId="77777777" w:rsidR="00F130EF" w:rsidRPr="00F130EF" w:rsidRDefault="00F130EF" w:rsidP="00F130EF">
            <w:pPr>
              <w:rPr>
                <w:lang w:val="en-US"/>
              </w:rPr>
            </w:pPr>
          </w:p>
        </w:tc>
      </w:tr>
      <w:tr w:rsidR="00F130EF" w:rsidRPr="00F130EF" w14:paraId="59EFBBF6" w14:textId="77777777" w:rsidTr="00A27E1C">
        <w:trPr>
          <w:trHeight w:val="290"/>
        </w:trPr>
        <w:tc>
          <w:tcPr>
            <w:tcW w:w="2430" w:type="dxa"/>
            <w:shd w:val="clear" w:color="auto" w:fill="auto"/>
            <w:noWrap/>
            <w:vAlign w:val="bottom"/>
            <w:hideMark/>
          </w:tcPr>
          <w:p w14:paraId="42253B5D" w14:textId="77777777" w:rsidR="00F130EF" w:rsidRPr="00F130EF" w:rsidRDefault="00F130EF" w:rsidP="00F130EF">
            <w:pPr>
              <w:rPr>
                <w:lang w:val="en-US"/>
              </w:rPr>
            </w:pPr>
            <w:r w:rsidRPr="00F130EF">
              <w:rPr>
                <w:lang w:val="en-US"/>
              </w:rPr>
              <w:t>Unfused</w:t>
            </w:r>
          </w:p>
        </w:tc>
        <w:tc>
          <w:tcPr>
            <w:tcW w:w="1350" w:type="dxa"/>
            <w:shd w:val="clear" w:color="auto" w:fill="auto"/>
            <w:noWrap/>
            <w:vAlign w:val="bottom"/>
            <w:hideMark/>
          </w:tcPr>
          <w:p w14:paraId="29632BF7"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5C9A59A7" w14:textId="77777777" w:rsidR="00F130EF" w:rsidRPr="00F130EF" w:rsidRDefault="00F130EF" w:rsidP="00F130EF">
            <w:pPr>
              <w:rPr>
                <w:lang w:val="en-US"/>
              </w:rPr>
            </w:pPr>
            <w:r w:rsidRPr="00F130EF">
              <w:rPr>
                <w:lang w:val="en-US"/>
              </w:rPr>
              <w:t>0 (0)</w:t>
            </w:r>
          </w:p>
        </w:tc>
        <w:tc>
          <w:tcPr>
            <w:tcW w:w="1400" w:type="dxa"/>
            <w:shd w:val="clear" w:color="auto" w:fill="auto"/>
            <w:noWrap/>
            <w:vAlign w:val="bottom"/>
            <w:hideMark/>
          </w:tcPr>
          <w:p w14:paraId="286E3AFB" w14:textId="77777777" w:rsidR="00F130EF" w:rsidRPr="00F130EF" w:rsidRDefault="00F130EF" w:rsidP="00F130EF">
            <w:pPr>
              <w:rPr>
                <w:lang w:val="en-US"/>
              </w:rPr>
            </w:pPr>
            <w:r w:rsidRPr="00F130EF">
              <w:rPr>
                <w:lang w:val="en-US"/>
              </w:rPr>
              <w:t>1 (6.7)</w:t>
            </w:r>
          </w:p>
        </w:tc>
        <w:tc>
          <w:tcPr>
            <w:tcW w:w="1165" w:type="dxa"/>
            <w:shd w:val="clear" w:color="auto" w:fill="auto"/>
            <w:noWrap/>
            <w:vAlign w:val="bottom"/>
            <w:hideMark/>
          </w:tcPr>
          <w:p w14:paraId="27D96476" w14:textId="77777777" w:rsidR="00F130EF" w:rsidRPr="00F130EF" w:rsidRDefault="00F130EF" w:rsidP="00F130EF">
            <w:pPr>
              <w:rPr>
                <w:lang w:val="en-US"/>
              </w:rPr>
            </w:pPr>
            <w:r w:rsidRPr="00F130EF">
              <w:rPr>
                <w:lang w:val="en-US"/>
              </w:rPr>
              <w:t>0.682</w:t>
            </w:r>
          </w:p>
        </w:tc>
      </w:tr>
      <w:tr w:rsidR="00F130EF" w:rsidRPr="00F130EF" w14:paraId="11760C51" w14:textId="77777777" w:rsidTr="00A27E1C">
        <w:trPr>
          <w:trHeight w:val="290"/>
        </w:trPr>
        <w:tc>
          <w:tcPr>
            <w:tcW w:w="2430" w:type="dxa"/>
            <w:shd w:val="clear" w:color="auto" w:fill="auto"/>
            <w:noWrap/>
            <w:vAlign w:val="bottom"/>
            <w:hideMark/>
          </w:tcPr>
          <w:p w14:paraId="5D0AB5F1" w14:textId="77777777" w:rsidR="00F130EF" w:rsidRPr="00F130EF" w:rsidRDefault="00F130EF" w:rsidP="00F130EF">
            <w:pPr>
              <w:rPr>
                <w:lang w:val="en-US"/>
              </w:rPr>
            </w:pPr>
            <w:r w:rsidRPr="00F130EF">
              <w:rPr>
                <w:lang w:val="en-US"/>
              </w:rPr>
              <w:t>Probably unfused</w:t>
            </w:r>
          </w:p>
        </w:tc>
        <w:tc>
          <w:tcPr>
            <w:tcW w:w="1350" w:type="dxa"/>
            <w:shd w:val="clear" w:color="auto" w:fill="auto"/>
            <w:noWrap/>
            <w:vAlign w:val="bottom"/>
            <w:hideMark/>
          </w:tcPr>
          <w:p w14:paraId="7EF2B5C4"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40340A87" w14:textId="77777777" w:rsidR="00F130EF" w:rsidRPr="00F130EF" w:rsidRDefault="00F130EF" w:rsidP="00F130EF">
            <w:pPr>
              <w:rPr>
                <w:lang w:val="en-US"/>
              </w:rPr>
            </w:pPr>
            <w:r w:rsidRPr="00F130EF">
              <w:rPr>
                <w:lang w:val="en-US"/>
              </w:rPr>
              <w:t>0 (0)</w:t>
            </w:r>
          </w:p>
        </w:tc>
        <w:tc>
          <w:tcPr>
            <w:tcW w:w="1400" w:type="dxa"/>
            <w:shd w:val="clear" w:color="auto" w:fill="auto"/>
            <w:noWrap/>
            <w:vAlign w:val="bottom"/>
            <w:hideMark/>
          </w:tcPr>
          <w:p w14:paraId="2784AD4B" w14:textId="77777777" w:rsidR="00F130EF" w:rsidRPr="00F130EF" w:rsidRDefault="00F130EF" w:rsidP="00F130EF">
            <w:pPr>
              <w:rPr>
                <w:lang w:val="en-US"/>
              </w:rPr>
            </w:pPr>
            <w:r w:rsidRPr="00F130EF">
              <w:rPr>
                <w:lang w:val="en-US"/>
              </w:rPr>
              <w:t>0 (0)</w:t>
            </w:r>
          </w:p>
        </w:tc>
        <w:tc>
          <w:tcPr>
            <w:tcW w:w="1165" w:type="dxa"/>
            <w:shd w:val="clear" w:color="auto" w:fill="auto"/>
            <w:noWrap/>
            <w:vAlign w:val="bottom"/>
            <w:hideMark/>
          </w:tcPr>
          <w:p w14:paraId="27F8DE54" w14:textId="77777777" w:rsidR="00F130EF" w:rsidRPr="00F130EF" w:rsidRDefault="00F130EF" w:rsidP="00F130EF">
            <w:pPr>
              <w:rPr>
                <w:lang w:val="en-US"/>
              </w:rPr>
            </w:pPr>
          </w:p>
        </w:tc>
      </w:tr>
      <w:tr w:rsidR="00F130EF" w:rsidRPr="00F130EF" w14:paraId="78824CAD" w14:textId="77777777" w:rsidTr="00A27E1C">
        <w:trPr>
          <w:trHeight w:val="290"/>
        </w:trPr>
        <w:tc>
          <w:tcPr>
            <w:tcW w:w="2430" w:type="dxa"/>
            <w:shd w:val="clear" w:color="auto" w:fill="auto"/>
            <w:noWrap/>
            <w:vAlign w:val="bottom"/>
            <w:hideMark/>
          </w:tcPr>
          <w:p w14:paraId="78C3440F" w14:textId="77777777" w:rsidR="00F130EF" w:rsidRPr="00F130EF" w:rsidRDefault="00F130EF" w:rsidP="00F130EF">
            <w:pPr>
              <w:rPr>
                <w:lang w:val="en-US"/>
              </w:rPr>
            </w:pPr>
            <w:r w:rsidRPr="00F130EF">
              <w:rPr>
                <w:lang w:val="en-US"/>
              </w:rPr>
              <w:t>Uncertain</w:t>
            </w:r>
          </w:p>
        </w:tc>
        <w:tc>
          <w:tcPr>
            <w:tcW w:w="1350" w:type="dxa"/>
            <w:shd w:val="clear" w:color="auto" w:fill="auto"/>
            <w:noWrap/>
            <w:vAlign w:val="bottom"/>
            <w:hideMark/>
          </w:tcPr>
          <w:p w14:paraId="7616DBF9"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6601C848" w14:textId="77777777" w:rsidR="00F130EF" w:rsidRPr="00F130EF" w:rsidRDefault="00F130EF" w:rsidP="00F130EF">
            <w:pPr>
              <w:rPr>
                <w:lang w:val="en-US"/>
              </w:rPr>
            </w:pPr>
            <w:r w:rsidRPr="00F130EF">
              <w:rPr>
                <w:lang w:val="en-US"/>
              </w:rPr>
              <w:t>0 (0)</w:t>
            </w:r>
          </w:p>
        </w:tc>
        <w:tc>
          <w:tcPr>
            <w:tcW w:w="1400" w:type="dxa"/>
            <w:shd w:val="clear" w:color="auto" w:fill="auto"/>
            <w:noWrap/>
            <w:vAlign w:val="bottom"/>
            <w:hideMark/>
          </w:tcPr>
          <w:p w14:paraId="6D6D507D" w14:textId="77777777" w:rsidR="00F130EF" w:rsidRPr="00F130EF" w:rsidRDefault="00F130EF" w:rsidP="00F130EF">
            <w:pPr>
              <w:rPr>
                <w:lang w:val="en-US"/>
              </w:rPr>
            </w:pPr>
            <w:r w:rsidRPr="00F130EF">
              <w:rPr>
                <w:lang w:val="en-US"/>
              </w:rPr>
              <w:t>0 (0)</w:t>
            </w:r>
          </w:p>
        </w:tc>
        <w:tc>
          <w:tcPr>
            <w:tcW w:w="1165" w:type="dxa"/>
            <w:shd w:val="clear" w:color="auto" w:fill="auto"/>
            <w:noWrap/>
            <w:vAlign w:val="bottom"/>
            <w:hideMark/>
          </w:tcPr>
          <w:p w14:paraId="15B5BF8D" w14:textId="77777777" w:rsidR="00F130EF" w:rsidRPr="00F130EF" w:rsidRDefault="00F130EF" w:rsidP="00F130EF">
            <w:pPr>
              <w:rPr>
                <w:lang w:val="en-US"/>
              </w:rPr>
            </w:pPr>
          </w:p>
        </w:tc>
      </w:tr>
      <w:tr w:rsidR="00F130EF" w:rsidRPr="00F130EF" w14:paraId="7DBEC2B5" w14:textId="77777777" w:rsidTr="00A27E1C">
        <w:trPr>
          <w:trHeight w:val="290"/>
        </w:trPr>
        <w:tc>
          <w:tcPr>
            <w:tcW w:w="2430" w:type="dxa"/>
            <w:shd w:val="clear" w:color="auto" w:fill="auto"/>
            <w:noWrap/>
            <w:vAlign w:val="bottom"/>
            <w:hideMark/>
          </w:tcPr>
          <w:p w14:paraId="39C47B7D" w14:textId="77777777" w:rsidR="00F130EF" w:rsidRPr="00F130EF" w:rsidRDefault="00F130EF" w:rsidP="00F130EF">
            <w:pPr>
              <w:rPr>
                <w:lang w:val="en-US"/>
              </w:rPr>
            </w:pPr>
            <w:r w:rsidRPr="00F130EF">
              <w:rPr>
                <w:lang w:val="en-US"/>
              </w:rPr>
              <w:t>Probably fused</w:t>
            </w:r>
          </w:p>
        </w:tc>
        <w:tc>
          <w:tcPr>
            <w:tcW w:w="1350" w:type="dxa"/>
            <w:shd w:val="clear" w:color="auto" w:fill="auto"/>
            <w:noWrap/>
            <w:vAlign w:val="bottom"/>
            <w:hideMark/>
          </w:tcPr>
          <w:p w14:paraId="41C240F4"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5442A29C" w14:textId="77777777" w:rsidR="00F130EF" w:rsidRPr="00F130EF" w:rsidRDefault="00F130EF" w:rsidP="00F130EF">
            <w:pPr>
              <w:rPr>
                <w:lang w:val="en-US"/>
              </w:rPr>
            </w:pPr>
            <w:r w:rsidRPr="00F130EF">
              <w:rPr>
                <w:lang w:val="en-US"/>
              </w:rPr>
              <w:t>3 (20)</w:t>
            </w:r>
          </w:p>
        </w:tc>
        <w:tc>
          <w:tcPr>
            <w:tcW w:w="1400" w:type="dxa"/>
            <w:shd w:val="clear" w:color="auto" w:fill="auto"/>
            <w:noWrap/>
            <w:vAlign w:val="bottom"/>
            <w:hideMark/>
          </w:tcPr>
          <w:p w14:paraId="1B652FF0" w14:textId="77777777" w:rsidR="00F130EF" w:rsidRPr="00F130EF" w:rsidRDefault="00F130EF" w:rsidP="00F130EF">
            <w:pPr>
              <w:rPr>
                <w:lang w:val="en-US"/>
              </w:rPr>
            </w:pPr>
            <w:r w:rsidRPr="00F130EF">
              <w:rPr>
                <w:lang w:val="en-US"/>
              </w:rPr>
              <w:t>4 (26.7)</w:t>
            </w:r>
          </w:p>
        </w:tc>
        <w:tc>
          <w:tcPr>
            <w:tcW w:w="1165" w:type="dxa"/>
            <w:shd w:val="clear" w:color="auto" w:fill="auto"/>
            <w:noWrap/>
            <w:vAlign w:val="bottom"/>
            <w:hideMark/>
          </w:tcPr>
          <w:p w14:paraId="13ECC7EE" w14:textId="77777777" w:rsidR="00F130EF" w:rsidRPr="00F130EF" w:rsidRDefault="00F130EF" w:rsidP="00F130EF">
            <w:pPr>
              <w:rPr>
                <w:lang w:val="en-US"/>
              </w:rPr>
            </w:pPr>
          </w:p>
        </w:tc>
      </w:tr>
      <w:tr w:rsidR="00F130EF" w:rsidRPr="00F130EF" w14:paraId="52886B8E" w14:textId="77777777" w:rsidTr="00A27E1C">
        <w:trPr>
          <w:trHeight w:val="290"/>
        </w:trPr>
        <w:tc>
          <w:tcPr>
            <w:tcW w:w="2430" w:type="dxa"/>
            <w:shd w:val="clear" w:color="auto" w:fill="auto"/>
            <w:noWrap/>
            <w:vAlign w:val="bottom"/>
            <w:hideMark/>
          </w:tcPr>
          <w:p w14:paraId="1A40A460" w14:textId="77777777" w:rsidR="00F130EF" w:rsidRPr="00F130EF" w:rsidRDefault="00F130EF" w:rsidP="00F130EF">
            <w:pPr>
              <w:rPr>
                <w:lang w:val="en-US"/>
              </w:rPr>
            </w:pPr>
            <w:r w:rsidRPr="00F130EF">
              <w:rPr>
                <w:lang w:val="en-US"/>
              </w:rPr>
              <w:t>Fused</w:t>
            </w:r>
          </w:p>
        </w:tc>
        <w:tc>
          <w:tcPr>
            <w:tcW w:w="1350" w:type="dxa"/>
            <w:shd w:val="clear" w:color="auto" w:fill="auto"/>
            <w:noWrap/>
            <w:vAlign w:val="bottom"/>
            <w:hideMark/>
          </w:tcPr>
          <w:p w14:paraId="3CEEABDA" w14:textId="77777777" w:rsidR="00F130EF" w:rsidRPr="00F130EF" w:rsidRDefault="00F130EF" w:rsidP="00F130EF">
            <w:pPr>
              <w:rPr>
                <w:lang w:val="en-US"/>
              </w:rPr>
            </w:pPr>
            <w:r w:rsidRPr="00F130EF">
              <w:rPr>
                <w:lang w:val="en-US"/>
              </w:rPr>
              <w:t>n (%)</w:t>
            </w:r>
          </w:p>
        </w:tc>
        <w:tc>
          <w:tcPr>
            <w:tcW w:w="1500" w:type="dxa"/>
            <w:shd w:val="clear" w:color="auto" w:fill="auto"/>
            <w:noWrap/>
            <w:vAlign w:val="bottom"/>
            <w:hideMark/>
          </w:tcPr>
          <w:p w14:paraId="2B438DC8" w14:textId="77777777" w:rsidR="00F130EF" w:rsidRPr="00F130EF" w:rsidRDefault="00F130EF" w:rsidP="00F130EF">
            <w:pPr>
              <w:rPr>
                <w:lang w:val="en-US"/>
              </w:rPr>
            </w:pPr>
            <w:r w:rsidRPr="00F130EF">
              <w:rPr>
                <w:lang w:val="en-US"/>
              </w:rPr>
              <w:t>12 (80)</w:t>
            </w:r>
          </w:p>
        </w:tc>
        <w:tc>
          <w:tcPr>
            <w:tcW w:w="1400" w:type="dxa"/>
            <w:shd w:val="clear" w:color="auto" w:fill="auto"/>
            <w:noWrap/>
            <w:vAlign w:val="bottom"/>
            <w:hideMark/>
          </w:tcPr>
          <w:p w14:paraId="59A3055A" w14:textId="77777777" w:rsidR="00F130EF" w:rsidRPr="00F130EF" w:rsidRDefault="00F130EF" w:rsidP="00F130EF">
            <w:pPr>
              <w:rPr>
                <w:lang w:val="en-US"/>
              </w:rPr>
            </w:pPr>
            <w:r w:rsidRPr="00F130EF">
              <w:rPr>
                <w:lang w:val="en-US"/>
              </w:rPr>
              <w:t>10 (66.7)</w:t>
            </w:r>
          </w:p>
        </w:tc>
        <w:tc>
          <w:tcPr>
            <w:tcW w:w="1165" w:type="dxa"/>
            <w:shd w:val="clear" w:color="auto" w:fill="auto"/>
            <w:noWrap/>
            <w:vAlign w:val="bottom"/>
            <w:hideMark/>
          </w:tcPr>
          <w:p w14:paraId="5E112369" w14:textId="77777777" w:rsidR="00F130EF" w:rsidRPr="00F130EF" w:rsidRDefault="00F130EF" w:rsidP="00F130EF">
            <w:pPr>
              <w:rPr>
                <w:lang w:val="en-US"/>
              </w:rPr>
            </w:pPr>
          </w:p>
        </w:tc>
      </w:tr>
    </w:tbl>
    <w:p w14:paraId="5692FC74" w14:textId="77777777" w:rsidR="00F130EF" w:rsidRPr="00F130EF" w:rsidRDefault="00F130EF" w:rsidP="00F130EF">
      <w:pPr>
        <w:rPr>
          <w:lang w:val="en-US"/>
        </w:rPr>
      </w:pPr>
    </w:p>
    <w:p w14:paraId="5E391C28" w14:textId="0B63C0B6" w:rsidR="00F130EF" w:rsidRDefault="00A47AD2" w:rsidP="00A47AD2">
      <w:r w:rsidRPr="00EC4BA5">
        <w:rPr>
          <w:rFonts w:asciiTheme="majorBidi" w:hAnsiTheme="majorBidi" w:cstheme="majorBidi"/>
          <w:noProof/>
          <w:sz w:val="28"/>
          <w:szCs w:val="28"/>
        </w:rPr>
        <w:lastRenderedPageBreak/>
        <w:drawing>
          <wp:inline distT="0" distB="0" distL="0" distR="0" wp14:anchorId="37FC9CAE" wp14:editId="396974E7">
            <wp:extent cx="2265481" cy="3313282"/>
            <wp:effectExtent l="0" t="0" r="1905" b="1905"/>
            <wp:docPr id="670972883" name="Picture 6"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72883" name="Picture 6" descr="A close-up of a person's 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5832" cy="3328420"/>
                    </a:xfrm>
                    <a:prstGeom prst="rect">
                      <a:avLst/>
                    </a:prstGeom>
                    <a:noFill/>
                    <a:ln>
                      <a:noFill/>
                    </a:ln>
                  </pic:spPr>
                </pic:pic>
              </a:graphicData>
            </a:graphic>
          </wp:inline>
        </w:drawing>
      </w:r>
      <w:r w:rsidRPr="00EC4BA5">
        <w:rPr>
          <w:rFonts w:asciiTheme="majorBidi" w:hAnsiTheme="majorBidi" w:cstheme="majorBidi"/>
          <w:noProof/>
          <w:sz w:val="28"/>
          <w:szCs w:val="28"/>
        </w:rPr>
        <w:drawing>
          <wp:inline distT="0" distB="0" distL="0" distR="0" wp14:anchorId="7DA27FC3" wp14:editId="5E0C5DEA">
            <wp:extent cx="2378815" cy="3319657"/>
            <wp:effectExtent l="0" t="0" r="2540" b="0"/>
            <wp:docPr id="885720448" name="Picture 5" descr="A x-ray of a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20448" name="Picture 5" descr="A x-ray of a nec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621" cy="3320781"/>
                    </a:xfrm>
                    <a:prstGeom prst="rect">
                      <a:avLst/>
                    </a:prstGeom>
                    <a:noFill/>
                    <a:ln>
                      <a:noFill/>
                    </a:ln>
                  </pic:spPr>
                </pic:pic>
              </a:graphicData>
            </a:graphic>
          </wp:inline>
        </w:drawing>
      </w:r>
      <w:r>
        <w:rPr>
          <w:lang w:val="en-US"/>
        </w:rPr>
        <w:br/>
      </w:r>
      <w:r w:rsidRPr="00505873">
        <w:rPr>
          <w:b/>
          <w:bCs/>
          <w:lang w:val="en-US"/>
        </w:rPr>
        <w:t>Figure 1:</w:t>
      </w:r>
      <w:r>
        <w:rPr>
          <w:lang w:val="en-US"/>
        </w:rPr>
        <w:t xml:space="preserve"> Preoperative </w:t>
      </w:r>
      <w:r w:rsidRPr="00BC44E8">
        <w:rPr>
          <w:b/>
          <w:bCs/>
          <w:lang w:val="en-US"/>
        </w:rPr>
        <w:t>A</w:t>
      </w:r>
      <w:r w:rsidR="00505873" w:rsidRPr="00BC44E8">
        <w:rPr>
          <w:b/>
          <w:bCs/>
          <w:lang w:val="en-US"/>
        </w:rPr>
        <w:t>:</w:t>
      </w:r>
      <w:r>
        <w:rPr>
          <w:lang w:val="en-US"/>
        </w:rPr>
        <w:t xml:space="preserve"> MRI</w:t>
      </w:r>
      <w:r w:rsidR="00505873">
        <w:rPr>
          <w:lang w:val="en-US"/>
        </w:rPr>
        <w:t>,</w:t>
      </w:r>
      <w:r>
        <w:rPr>
          <w:lang w:val="en-US"/>
        </w:rPr>
        <w:t xml:space="preserve"> </w:t>
      </w:r>
      <w:r w:rsidRPr="00BC44E8">
        <w:rPr>
          <w:b/>
          <w:bCs/>
          <w:lang w:val="en-US"/>
        </w:rPr>
        <w:t>B</w:t>
      </w:r>
      <w:r w:rsidR="00505873" w:rsidRPr="00BC44E8">
        <w:rPr>
          <w:b/>
          <w:bCs/>
          <w:lang w:val="en-US"/>
        </w:rPr>
        <w:t>:</w:t>
      </w:r>
      <w:r>
        <w:rPr>
          <w:lang w:val="en-US"/>
        </w:rPr>
        <w:t xml:space="preserve"> X-ray of </w:t>
      </w:r>
      <w:r>
        <w:t>f</w:t>
      </w:r>
      <w:r w:rsidRPr="00A47AD2">
        <w:t>emale patient 56 years</w:t>
      </w:r>
      <w:r>
        <w:t xml:space="preserve"> old with L5-S1 Spondylodiscitis. Her </w:t>
      </w:r>
      <w:r w:rsidRPr="00A47AD2">
        <w:t>VAS score on admission was 7. Frankle scale was C preoperatively. And ODI was 84%.</w:t>
      </w:r>
    </w:p>
    <w:p w14:paraId="079677E7" w14:textId="008F4D64" w:rsidR="00A47AD2" w:rsidRDefault="00505873" w:rsidP="00BC44E8">
      <w:pPr>
        <w:rPr>
          <w:lang w:val="en-US"/>
        </w:rPr>
      </w:pPr>
      <w:r>
        <w:rPr>
          <w:noProof/>
          <w:lang w:val="en-US"/>
        </w:rPr>
        <w:drawing>
          <wp:inline distT="0" distB="0" distL="0" distR="0" wp14:anchorId="123CB69F" wp14:editId="7A94F133">
            <wp:extent cx="2440940" cy="3134995"/>
            <wp:effectExtent l="0" t="0" r="0" b="8255"/>
            <wp:docPr id="1298790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3134995"/>
                    </a:xfrm>
                    <a:prstGeom prst="rect">
                      <a:avLst/>
                    </a:prstGeom>
                    <a:noFill/>
                    <a:ln>
                      <a:noFill/>
                    </a:ln>
                  </pic:spPr>
                </pic:pic>
              </a:graphicData>
            </a:graphic>
          </wp:inline>
        </w:drawing>
      </w:r>
      <w:r>
        <w:rPr>
          <w:noProof/>
          <w:lang w:val="en-US"/>
        </w:rPr>
        <w:drawing>
          <wp:inline distT="0" distB="0" distL="0" distR="0" wp14:anchorId="57D47485" wp14:editId="7B833F4F">
            <wp:extent cx="2599055" cy="2564130"/>
            <wp:effectExtent l="0" t="0" r="0" b="7620"/>
            <wp:docPr id="2078566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055" cy="2564130"/>
                    </a:xfrm>
                    <a:prstGeom prst="rect">
                      <a:avLst/>
                    </a:prstGeom>
                    <a:noFill/>
                    <a:ln>
                      <a:noFill/>
                    </a:ln>
                  </pic:spPr>
                </pic:pic>
              </a:graphicData>
            </a:graphic>
          </wp:inline>
        </w:drawing>
      </w:r>
      <w:r>
        <w:rPr>
          <w:lang w:val="en-US"/>
        </w:rPr>
        <w:br/>
      </w:r>
      <w:r w:rsidRPr="00505873">
        <w:rPr>
          <w:b/>
          <w:bCs/>
          <w:lang w:val="en-US"/>
        </w:rPr>
        <w:t>Figure2</w:t>
      </w:r>
      <w:r w:rsidRPr="00BC44E8">
        <w:rPr>
          <w:b/>
          <w:bCs/>
          <w:lang w:val="en-US"/>
        </w:rPr>
        <w:t xml:space="preserve">: A: </w:t>
      </w:r>
      <w:r>
        <w:rPr>
          <w:lang w:val="en-US"/>
        </w:rPr>
        <w:t xml:space="preserve">One month follow up X-ray, </w:t>
      </w:r>
      <w:r w:rsidRPr="00BC44E8">
        <w:rPr>
          <w:b/>
          <w:bCs/>
          <w:lang w:val="en-US"/>
        </w:rPr>
        <w:t>B:</w:t>
      </w:r>
      <w:r>
        <w:rPr>
          <w:lang w:val="en-US"/>
        </w:rPr>
        <w:t xml:space="preserve"> follow up x-ray after 3 months.</w:t>
      </w:r>
      <w:r w:rsidR="00BC44E8">
        <w:rPr>
          <w:lang w:val="en-US"/>
        </w:rPr>
        <w:t xml:space="preserve"> </w:t>
      </w:r>
      <w:r w:rsidR="00BC44E8" w:rsidRPr="00BC44E8">
        <w:t>VAS score = 3. Frankle scale was improved from C to D.</w:t>
      </w:r>
    </w:p>
    <w:p w14:paraId="1086D0F9" w14:textId="51EEC8EB" w:rsidR="00505873" w:rsidRDefault="00505873" w:rsidP="00BC44E8">
      <w:r>
        <w:rPr>
          <w:rFonts w:asciiTheme="majorBidi" w:hAnsiTheme="majorBidi" w:cstheme="majorBidi"/>
          <w:noProof/>
          <w:sz w:val="28"/>
          <w:szCs w:val="28"/>
        </w:rPr>
        <w:lastRenderedPageBreak/>
        <w:drawing>
          <wp:inline distT="0" distB="0" distL="0" distR="0" wp14:anchorId="6D62A476" wp14:editId="34A8B50B">
            <wp:extent cx="3258089" cy="2049040"/>
            <wp:effectExtent l="0" t="0" r="0" b="8890"/>
            <wp:docPr id="8262447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521" cy="2068808"/>
                    </a:xfrm>
                    <a:prstGeom prst="rect">
                      <a:avLst/>
                    </a:prstGeom>
                    <a:noFill/>
                    <a:ln>
                      <a:noFill/>
                    </a:ln>
                  </pic:spPr>
                </pic:pic>
              </a:graphicData>
            </a:graphic>
          </wp:inline>
        </w:drawing>
      </w:r>
      <w:r>
        <w:rPr>
          <w:rFonts w:asciiTheme="majorBidi" w:hAnsiTheme="majorBidi" w:cstheme="majorBidi"/>
          <w:noProof/>
          <w:sz w:val="28"/>
          <w:szCs w:val="28"/>
        </w:rPr>
        <w:drawing>
          <wp:inline distT="0" distB="0" distL="0" distR="0" wp14:anchorId="68A20FA4" wp14:editId="2C3F0090">
            <wp:extent cx="2102984" cy="3678226"/>
            <wp:effectExtent l="0" t="0" r="0" b="0"/>
            <wp:docPr id="5281288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76" cy="3678562"/>
                    </a:xfrm>
                    <a:prstGeom prst="rect">
                      <a:avLst/>
                    </a:prstGeom>
                    <a:noFill/>
                    <a:ln>
                      <a:noFill/>
                    </a:ln>
                  </pic:spPr>
                </pic:pic>
              </a:graphicData>
            </a:graphic>
          </wp:inline>
        </w:drawing>
      </w:r>
      <w:r>
        <w:rPr>
          <w:lang w:val="en-US"/>
        </w:rPr>
        <w:br/>
      </w:r>
      <w:r w:rsidRPr="00BC44E8">
        <w:rPr>
          <w:b/>
          <w:bCs/>
          <w:lang w:val="en-US"/>
        </w:rPr>
        <w:t>Figure 3:</w:t>
      </w:r>
      <w:r>
        <w:rPr>
          <w:lang w:val="en-US"/>
        </w:rPr>
        <w:t xml:space="preserve"> Preoperative </w:t>
      </w:r>
      <w:r w:rsidRPr="00BC44E8">
        <w:rPr>
          <w:b/>
          <w:bCs/>
          <w:lang w:val="en-US"/>
        </w:rPr>
        <w:t>A:</w:t>
      </w:r>
      <w:r>
        <w:rPr>
          <w:lang w:val="en-US"/>
        </w:rPr>
        <w:t xml:space="preserve"> MRI, </w:t>
      </w:r>
      <w:r w:rsidRPr="00BC44E8">
        <w:rPr>
          <w:b/>
          <w:bCs/>
          <w:lang w:val="en-US"/>
        </w:rPr>
        <w:t>B:</w:t>
      </w:r>
      <w:r>
        <w:rPr>
          <w:lang w:val="en-US"/>
        </w:rPr>
        <w:t xml:space="preserve"> X-ray of male patient 52 years old with L4-L5 Spondylodiscitis</w:t>
      </w:r>
      <w:r w:rsidR="00BC44E8">
        <w:rPr>
          <w:lang w:val="en-US"/>
        </w:rPr>
        <w:t xml:space="preserve">. </w:t>
      </w:r>
      <w:r w:rsidR="00BC44E8" w:rsidRPr="00BC44E8">
        <w:t>VAS score on admission was 8. Frankle scale was C preoperatively. And ODI was 82%.</w:t>
      </w:r>
    </w:p>
    <w:p w14:paraId="02E01A69" w14:textId="3DFB7DAC" w:rsidR="00BC44E8" w:rsidRDefault="00BC44E8" w:rsidP="00BC44E8">
      <w:r>
        <w:rPr>
          <w:noProof/>
          <w:lang w:val="en-US"/>
        </w:rPr>
        <w:drawing>
          <wp:inline distT="0" distB="0" distL="0" distR="0" wp14:anchorId="4CB305D4" wp14:editId="77E087B4">
            <wp:extent cx="1945640" cy="2550795"/>
            <wp:effectExtent l="0" t="0" r="0" b="1905"/>
            <wp:docPr id="1302372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640" cy="2550795"/>
                    </a:xfrm>
                    <a:prstGeom prst="rect">
                      <a:avLst/>
                    </a:prstGeom>
                    <a:noFill/>
                    <a:ln>
                      <a:noFill/>
                    </a:ln>
                  </pic:spPr>
                </pic:pic>
              </a:graphicData>
            </a:graphic>
          </wp:inline>
        </w:drawing>
      </w:r>
      <w:r>
        <w:rPr>
          <w:noProof/>
          <w:lang w:val="en-US"/>
        </w:rPr>
        <w:drawing>
          <wp:inline distT="0" distB="0" distL="0" distR="0" wp14:anchorId="6FFF9A9E" wp14:editId="50319F7C">
            <wp:extent cx="1923138" cy="2536949"/>
            <wp:effectExtent l="0" t="0" r="1270" b="0"/>
            <wp:docPr id="19415448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977" cy="2544652"/>
                    </a:xfrm>
                    <a:prstGeom prst="rect">
                      <a:avLst/>
                    </a:prstGeom>
                    <a:noFill/>
                    <a:ln>
                      <a:noFill/>
                    </a:ln>
                  </pic:spPr>
                </pic:pic>
              </a:graphicData>
            </a:graphic>
          </wp:inline>
        </w:drawing>
      </w:r>
      <w:r>
        <w:rPr>
          <w:lang w:val="en-US"/>
        </w:rPr>
        <w:br/>
      </w:r>
      <w:r w:rsidRPr="00BC44E8">
        <w:rPr>
          <w:b/>
          <w:bCs/>
          <w:lang w:val="en-US"/>
        </w:rPr>
        <w:t>Figure 4:</w:t>
      </w:r>
      <w:r>
        <w:rPr>
          <w:lang w:val="en-US"/>
        </w:rPr>
        <w:t xml:space="preserve"> </w:t>
      </w:r>
      <w:r w:rsidRPr="00BC44E8">
        <w:rPr>
          <w:b/>
          <w:bCs/>
          <w:lang w:val="en-US"/>
        </w:rPr>
        <w:t>A:</w:t>
      </w:r>
      <w:r>
        <w:rPr>
          <w:lang w:val="en-US"/>
        </w:rPr>
        <w:t xml:space="preserve"> Immediate </w:t>
      </w:r>
      <w:r w:rsidRPr="00BC44E8">
        <w:t>postoperative x-ray</w:t>
      </w:r>
      <w:r>
        <w:t xml:space="preserve">, </w:t>
      </w:r>
      <w:r w:rsidRPr="00BC44E8">
        <w:rPr>
          <w:b/>
          <w:bCs/>
        </w:rPr>
        <w:t>B:</w:t>
      </w:r>
      <w:r>
        <w:t xml:space="preserve"> Follow up X-ray after 3 months. </w:t>
      </w:r>
      <w:bookmarkStart w:id="5" w:name="_Hlk142640811"/>
      <w:r>
        <w:t xml:space="preserve">Showing pedicle screws fixation with correction of kyphosis. </w:t>
      </w:r>
      <w:bookmarkEnd w:id="5"/>
      <w:r w:rsidRPr="00BC44E8">
        <w:t>VAS score = 4. Frankle scale was improved from C to D.</w:t>
      </w:r>
    </w:p>
    <w:p w14:paraId="7D1E961F" w14:textId="2E7EA705" w:rsidR="00BC44E8" w:rsidRPr="000F202D" w:rsidRDefault="000F202D" w:rsidP="000F202D">
      <w:pPr>
        <w:rPr>
          <w:b/>
          <w:bCs/>
        </w:rPr>
      </w:pPr>
      <w:r w:rsidRPr="000F202D">
        <w:rPr>
          <w:b/>
          <w:bCs/>
        </w:rPr>
        <w:t>Discussion:</w:t>
      </w:r>
    </w:p>
    <w:p w14:paraId="455119A4" w14:textId="77777777" w:rsidR="001A60EC" w:rsidRPr="001A60EC" w:rsidRDefault="001A60EC" w:rsidP="001A60EC">
      <w:r w:rsidRPr="001A60EC">
        <w:t xml:space="preserve">A diverse range of clinical manifestations characterizes spinal infections, involving vertebral bodies, intervertebral discs, the spinal canal, and paravertebral structures. Etiologically, these </w:t>
      </w:r>
      <w:r w:rsidRPr="001A60EC">
        <w:lastRenderedPageBreak/>
        <w:t>infections can be classified into pyogenic (bacterial), granulomatous (tuberculous or fungal), and parasitic (Echinococcosis) categories (20).</w:t>
      </w:r>
    </w:p>
    <w:p w14:paraId="53518171" w14:textId="6AE82F12" w:rsidR="001A60EC" w:rsidRPr="001A60EC" w:rsidRDefault="001A60EC" w:rsidP="002D67F9">
      <w:r w:rsidRPr="001A60EC">
        <w:t>Surgical intervention becomes imperative when neurological deficits, epidural abscesses, or kyphotic deformities develop. The efficacy of anterior debridement and fusion has been substantiated in treating pyogenic spondylodiscitis. This technique provides direct access to the infected disc, enabling thorough debridement, successful bone graft placement, and adequate stabilization</w:t>
      </w:r>
      <w:r w:rsidR="002D67F9">
        <w:t>.</w:t>
      </w:r>
      <w:r w:rsidR="002D67F9" w:rsidRPr="002D67F9">
        <w:rPr>
          <w:rFonts w:ascii="Segoe UI" w:hAnsi="Segoe UI" w:cs="Segoe UI"/>
          <w:color w:val="343541"/>
        </w:rPr>
        <w:t xml:space="preserve"> </w:t>
      </w:r>
      <w:r w:rsidR="002D67F9" w:rsidRPr="002D67F9">
        <w:t>Additionally, it facilitates tissue biopsy for precise microbiological diagnosis. However, the anterior approach alone may not consistently suffice to restore spinal stability and rectify kyphotic deformities, which are more achievable from the posterior approach</w:t>
      </w:r>
      <w:r w:rsidR="002D67F9">
        <w:t xml:space="preserve"> </w:t>
      </w:r>
      <w:r w:rsidRPr="001A60EC">
        <w:t>(21).</w:t>
      </w:r>
    </w:p>
    <w:p w14:paraId="78DFB639" w14:textId="77777777" w:rsidR="001A60EC" w:rsidRPr="001A60EC" w:rsidRDefault="001A60EC" w:rsidP="001A60EC">
      <w:r w:rsidRPr="001A60EC">
        <w:t>This study aims to compare the clinical, radiological, and functional outcomes of the anterior (Group A) versus posterior (Group B) approaches in surgically managing patients with dorsal or lumbar non-specific spondylodiscitis.</w:t>
      </w:r>
    </w:p>
    <w:p w14:paraId="547428AF" w14:textId="446F7286" w:rsidR="000F202D" w:rsidRPr="000F202D" w:rsidRDefault="000F202D" w:rsidP="000F202D">
      <w:pPr>
        <w:rPr>
          <w:lang w:val="en-US"/>
        </w:rPr>
      </w:pPr>
      <w:r w:rsidRPr="000F202D">
        <w:rPr>
          <w:lang w:val="en-US"/>
        </w:rPr>
        <w:t xml:space="preserve">Our results show the mean age of patients of group A was 52 ±8 and group B was 52 ±7 with no significant difference (P-value = 0.905). </w:t>
      </w:r>
      <w:r w:rsidR="00141045" w:rsidRPr="000F202D">
        <w:rPr>
          <w:lang w:val="en-US"/>
        </w:rPr>
        <w:t>Similarly,</w:t>
      </w:r>
      <w:r w:rsidRPr="000F202D">
        <w:rPr>
          <w:lang w:val="en-US"/>
        </w:rPr>
        <w:t xml:space="preserve"> Korovessis et al., in 2006 (2</w:t>
      </w:r>
      <w:r>
        <w:rPr>
          <w:lang w:val="en-US"/>
        </w:rPr>
        <w:t>2</w:t>
      </w:r>
      <w:r w:rsidRPr="000F202D">
        <w:rPr>
          <w:lang w:val="en-US"/>
        </w:rPr>
        <w:t>) found that the mean age was 55 years in their study. In Pee et al., 2008 (2</w:t>
      </w:r>
      <w:r>
        <w:rPr>
          <w:lang w:val="en-US"/>
        </w:rPr>
        <w:t>3</w:t>
      </w:r>
      <w:r w:rsidRPr="000F202D">
        <w:rPr>
          <w:lang w:val="en-US"/>
        </w:rPr>
        <w:t>) the mean age was 58 years in their study.</w:t>
      </w:r>
    </w:p>
    <w:p w14:paraId="0749A6F5" w14:textId="47248436" w:rsidR="000F202D" w:rsidRPr="000F202D" w:rsidRDefault="000F202D" w:rsidP="000F202D">
      <w:pPr>
        <w:rPr>
          <w:lang w:val="en-US"/>
        </w:rPr>
      </w:pPr>
      <w:r w:rsidRPr="000F202D">
        <w:rPr>
          <w:lang w:val="en-US"/>
        </w:rPr>
        <w:t>In our study the most frequent site in group A was lumbar (46.7%), followed by thoracolumbar (40%) and thoracic (13.3%), while in group B, the most frequent was lumbar (40%), followed by thoracic (33.35) and thoracolumbar (26.7%). No significant difference was observed between the studied groups (P = 0.520). In Korovessis et al., 2006 (2</w:t>
      </w:r>
      <w:r>
        <w:rPr>
          <w:lang w:val="en-US"/>
        </w:rPr>
        <w:t>2</w:t>
      </w:r>
      <w:r w:rsidRPr="000F202D">
        <w:rPr>
          <w:lang w:val="en-US"/>
        </w:rPr>
        <w:t>) 3 out of 14 patients had thoracolumbar infection while the other 11 were lumbosacral sites. In Včelák et al., 2014 (2</w:t>
      </w:r>
      <w:r>
        <w:rPr>
          <w:lang w:val="en-US"/>
        </w:rPr>
        <w:t>4</w:t>
      </w:r>
      <w:r w:rsidRPr="000F202D">
        <w:rPr>
          <w:lang w:val="en-US"/>
        </w:rPr>
        <w:t>) 6 out of 31 patients had thoracolumbar infection while the other 25 were lumbosacral sites.</w:t>
      </w:r>
    </w:p>
    <w:p w14:paraId="2F96AF44" w14:textId="1E1550AA" w:rsidR="000F202D" w:rsidRPr="000F202D" w:rsidRDefault="000F202D" w:rsidP="000F202D">
      <w:pPr>
        <w:rPr>
          <w:lang w:val="en-US"/>
        </w:rPr>
      </w:pPr>
      <w:r w:rsidRPr="000F202D">
        <w:rPr>
          <w:lang w:val="en-US"/>
        </w:rPr>
        <w:t xml:space="preserve">In our study </w:t>
      </w:r>
      <w:bookmarkStart w:id="6" w:name="_Hlk142637861"/>
      <w:r w:rsidRPr="000F202D">
        <w:rPr>
          <w:lang w:val="en-US"/>
        </w:rPr>
        <w:t xml:space="preserve">chronic disease was the most frequent risk factor in groups A and B (80% in each). No significant difference was observed between the studied groups regarding risk factors (P = 1.0). </w:t>
      </w:r>
      <w:bookmarkEnd w:id="6"/>
      <w:r w:rsidRPr="000F202D">
        <w:rPr>
          <w:lang w:val="en-US"/>
        </w:rPr>
        <w:t>Similarly, Korovessis et al., in 2006 (2</w:t>
      </w:r>
      <w:r>
        <w:rPr>
          <w:lang w:val="en-US"/>
        </w:rPr>
        <w:t>2</w:t>
      </w:r>
      <w:r w:rsidRPr="000F202D">
        <w:rPr>
          <w:lang w:val="en-US"/>
        </w:rPr>
        <w:t>) found in their study that chronic disease was the most frequent risk factor 71.4%. In Pee et al., 2008 (2</w:t>
      </w:r>
      <w:r>
        <w:rPr>
          <w:lang w:val="en-US"/>
        </w:rPr>
        <w:t>3</w:t>
      </w:r>
      <w:r w:rsidRPr="000F202D">
        <w:rPr>
          <w:lang w:val="en-US"/>
        </w:rPr>
        <w:t>) chronic disease was the most frequent risk factor 66.6%.</w:t>
      </w:r>
    </w:p>
    <w:p w14:paraId="42CE8843" w14:textId="1505A4E4" w:rsidR="000F202D" w:rsidRPr="000F202D" w:rsidRDefault="000F202D" w:rsidP="000F202D">
      <w:pPr>
        <w:rPr>
          <w:lang w:val="en-US"/>
        </w:rPr>
      </w:pPr>
      <w:r w:rsidRPr="000F202D">
        <w:rPr>
          <w:lang w:val="en-US"/>
        </w:rPr>
        <w:t xml:space="preserve">In our study </w:t>
      </w:r>
      <w:bookmarkStart w:id="7" w:name="_Hlk142637901"/>
      <w:r w:rsidRPr="000F202D">
        <w:rPr>
          <w:lang w:val="en-US"/>
        </w:rPr>
        <w:t xml:space="preserve">the most frequent predominant pathogen in groups A and B was Staph aureus (40% and 33.3%, respectively), followed by staph epidermidus (13.3 for each), pseudomonas aeruginosa (6.7% for each), mycobacterium tuberculosis (6.7% and 20%, respectively), and brucella (6.7% for each). No significant difference was observed between the studied groups (p = 0.970). </w:t>
      </w:r>
      <w:bookmarkEnd w:id="7"/>
      <w:r w:rsidRPr="000F202D">
        <w:rPr>
          <w:lang w:val="en-US"/>
        </w:rPr>
        <w:t>Similarly Staph aureus was the predominant pathogen in each study of Korovessis et al., 2006 (2</w:t>
      </w:r>
      <w:r>
        <w:rPr>
          <w:lang w:val="en-US"/>
        </w:rPr>
        <w:t>2</w:t>
      </w:r>
      <w:r w:rsidRPr="000F202D">
        <w:rPr>
          <w:lang w:val="en-US"/>
        </w:rPr>
        <w:t>), Včelák et al., 2014 (2</w:t>
      </w:r>
      <w:r>
        <w:rPr>
          <w:lang w:val="en-US"/>
        </w:rPr>
        <w:t>4</w:t>
      </w:r>
      <w:r w:rsidRPr="000F202D">
        <w:rPr>
          <w:lang w:val="en-US"/>
        </w:rPr>
        <w:t>), and Endres et al., 2012 (2</w:t>
      </w:r>
      <w:r>
        <w:rPr>
          <w:lang w:val="en-US"/>
        </w:rPr>
        <w:t>5</w:t>
      </w:r>
      <w:r w:rsidRPr="000F202D">
        <w:rPr>
          <w:lang w:val="en-US"/>
        </w:rPr>
        <w:t>). While Staph epidermidis was the predominant pathogen in the study of Pee et al., 2008 (2</w:t>
      </w:r>
      <w:r>
        <w:rPr>
          <w:lang w:val="en-US"/>
        </w:rPr>
        <w:t>3</w:t>
      </w:r>
      <w:r w:rsidRPr="000F202D">
        <w:rPr>
          <w:lang w:val="en-US"/>
        </w:rPr>
        <w:t>).</w:t>
      </w:r>
    </w:p>
    <w:p w14:paraId="084E53E6" w14:textId="1B0ADB18" w:rsidR="000F202D" w:rsidRPr="000F202D" w:rsidRDefault="000F202D" w:rsidP="000F202D">
      <w:pPr>
        <w:rPr>
          <w:lang w:val="en-US"/>
        </w:rPr>
      </w:pPr>
      <w:r w:rsidRPr="000F202D">
        <w:rPr>
          <w:lang w:val="en-US"/>
        </w:rPr>
        <w:t xml:space="preserve">In this study </w:t>
      </w:r>
      <w:bookmarkStart w:id="8" w:name="_Hlk142637989"/>
      <w:r w:rsidRPr="000F202D">
        <w:rPr>
          <w:lang w:val="en-US"/>
        </w:rPr>
        <w:t xml:space="preserve">the median VAS score improved from 8 in groups A and B preoperatively to 3 postoperatively in both groups. No significant differences were observed between the studied groups regarding the pre and postoperative VAS scores (P = 0.806 and 0.325, respectively). </w:t>
      </w:r>
      <w:bookmarkEnd w:id="8"/>
      <w:r w:rsidRPr="000F202D">
        <w:rPr>
          <w:lang w:val="en-US"/>
        </w:rPr>
        <w:t xml:space="preserve">While in </w:t>
      </w:r>
      <w:bookmarkStart w:id="9" w:name="_Hlk142037557"/>
      <w:r w:rsidRPr="000F202D">
        <w:rPr>
          <w:lang w:val="en-US"/>
        </w:rPr>
        <w:t>Hassan K. et al., 2016 (2</w:t>
      </w:r>
      <w:r>
        <w:rPr>
          <w:lang w:val="en-US"/>
        </w:rPr>
        <w:t>6</w:t>
      </w:r>
      <w:r w:rsidRPr="000F202D">
        <w:rPr>
          <w:lang w:val="en-US"/>
        </w:rPr>
        <w:t>),</w:t>
      </w:r>
      <w:bookmarkEnd w:id="9"/>
      <w:r w:rsidRPr="000F202D">
        <w:rPr>
          <w:lang w:val="en-US"/>
        </w:rPr>
        <w:t xml:space="preserve"> </w:t>
      </w:r>
      <w:r w:rsidRPr="000F202D">
        <w:t>there was significantly better VAS of back pain in the posterior group than anterior.</w:t>
      </w:r>
    </w:p>
    <w:p w14:paraId="3FF56510" w14:textId="45A42E53" w:rsidR="000F202D" w:rsidRPr="000F202D" w:rsidRDefault="000F202D" w:rsidP="000F202D">
      <w:r w:rsidRPr="000F202D">
        <w:rPr>
          <w:lang w:val="en-US"/>
        </w:rPr>
        <w:t xml:space="preserve">In our study, </w:t>
      </w:r>
      <w:bookmarkStart w:id="10" w:name="_Hlk142638035"/>
      <w:r w:rsidRPr="000F202D">
        <w:rPr>
          <w:lang w:val="en-US"/>
        </w:rPr>
        <w:t>regarding Frankel score (</w:t>
      </w:r>
      <w:r>
        <w:rPr>
          <w:lang w:val="en-US"/>
        </w:rPr>
        <w:t>15</w:t>
      </w:r>
      <w:r w:rsidRPr="000F202D">
        <w:rPr>
          <w:lang w:val="en-US"/>
        </w:rPr>
        <w:t xml:space="preserve">) for neurological impairment, good outcomes (score D &amp; E) were the most frequently reported (33.3%), while in group B, score D was the most </w:t>
      </w:r>
      <w:r w:rsidRPr="000F202D">
        <w:rPr>
          <w:lang w:val="en-US"/>
        </w:rPr>
        <w:lastRenderedPageBreak/>
        <w:t xml:space="preserve">frequent (46.7%) with no significant difference observed (P = 0.708). </w:t>
      </w:r>
      <w:bookmarkEnd w:id="10"/>
      <w:r w:rsidRPr="000F202D">
        <w:rPr>
          <w:lang w:val="en-US"/>
        </w:rPr>
        <w:t>Similarly, there was no significant difference in neurological improvement in the study of Hassan K. et al., 2016 (2</w:t>
      </w:r>
      <w:r w:rsidR="00141045">
        <w:rPr>
          <w:lang w:val="en-US"/>
        </w:rPr>
        <w:t>6</w:t>
      </w:r>
      <w:r w:rsidRPr="000F202D">
        <w:rPr>
          <w:lang w:val="en-US"/>
        </w:rPr>
        <w:t xml:space="preserve">). </w:t>
      </w:r>
      <w:r w:rsidRPr="000F202D">
        <w:t>However, Bhavuk et al. (2</w:t>
      </w:r>
      <w:r w:rsidR="00141045">
        <w:t>7</w:t>
      </w:r>
      <w:r w:rsidRPr="000F202D">
        <w:t>) reported relatively better neurological recovery in anterior group (76 %) than posterior one (72.2 %). They believed that it was more difficult in posterolateral approach to debride the anterior debris and decompress the neural elements with increased incidence of neurological injury than anterior approach.</w:t>
      </w:r>
    </w:p>
    <w:p w14:paraId="4432EDBB" w14:textId="7F8E3D97" w:rsidR="000F202D" w:rsidRPr="000F202D" w:rsidRDefault="000F202D" w:rsidP="000F202D">
      <w:pPr>
        <w:rPr>
          <w:lang w:val="en-US"/>
        </w:rPr>
      </w:pPr>
      <w:r w:rsidRPr="000F202D">
        <w:rPr>
          <w:lang w:val="en-US"/>
        </w:rPr>
        <w:t xml:space="preserve">In our study, </w:t>
      </w:r>
      <w:bookmarkStart w:id="11" w:name="_Hlk142638116"/>
      <w:r w:rsidRPr="000F202D">
        <w:rPr>
          <w:lang w:val="en-US"/>
        </w:rPr>
        <w:t>regarding Oswestry disability index (ODI) (</w:t>
      </w:r>
      <w:r w:rsidR="00141045">
        <w:rPr>
          <w:lang w:val="en-US"/>
        </w:rPr>
        <w:t>18</w:t>
      </w:r>
      <w:r w:rsidRPr="000F202D">
        <w:rPr>
          <w:lang w:val="en-US"/>
        </w:rPr>
        <w:t xml:space="preserve">), functional outcome was improved from 84% and 82% preoperatively to 28% and 30% postoperatively in Group A and Group B respectively, with no significant difference between both groups.  </w:t>
      </w:r>
      <w:bookmarkEnd w:id="11"/>
      <w:r w:rsidRPr="000F202D">
        <w:rPr>
          <w:lang w:val="en-US"/>
        </w:rPr>
        <w:t>Similarly, there was no significant difference</w:t>
      </w:r>
      <w:r w:rsidRPr="000F202D">
        <w:t xml:space="preserve"> (P=0.05)</w:t>
      </w:r>
      <w:r w:rsidRPr="000F202D">
        <w:rPr>
          <w:lang w:val="en-US"/>
        </w:rPr>
        <w:t xml:space="preserve"> in functional outcome regarding Oswestry disability index (ODI) in the study of Hassan K. et al., 2016 (2</w:t>
      </w:r>
      <w:r w:rsidR="00141045">
        <w:rPr>
          <w:lang w:val="en-US"/>
        </w:rPr>
        <w:t>6</w:t>
      </w:r>
      <w:r w:rsidRPr="000F202D">
        <w:rPr>
          <w:lang w:val="en-US"/>
        </w:rPr>
        <w:t xml:space="preserve">). </w:t>
      </w:r>
    </w:p>
    <w:p w14:paraId="70D6ED62" w14:textId="3A967DF1" w:rsidR="000F202D" w:rsidRPr="000F202D" w:rsidRDefault="000F202D" w:rsidP="000F202D">
      <w:r w:rsidRPr="000F202D">
        <w:rPr>
          <w:lang w:val="en-US"/>
        </w:rPr>
        <w:t xml:space="preserve">In our study, regarding </w:t>
      </w:r>
      <w:bookmarkStart w:id="12" w:name="_Hlk142638223"/>
      <w:r w:rsidRPr="000F202D">
        <w:rPr>
          <w:lang w:val="en-US"/>
        </w:rPr>
        <w:t xml:space="preserve">Local Kyphotic Angle, group B (Posterior approach) demonstrated significantly higher correction degrees than the anterior approach group A (P-value = 0.024). </w:t>
      </w:r>
      <w:bookmarkEnd w:id="12"/>
      <w:r w:rsidRPr="000F202D">
        <w:t>Similar results were achieved by Bhavuk et al. (2</w:t>
      </w:r>
      <w:r w:rsidR="00141045">
        <w:t>7</w:t>
      </w:r>
      <w:r w:rsidRPr="000F202D">
        <w:t>) as they reported better postoperative angle correction in posterior group (54.3°) than anterior one (23.3°) and relatively less angle loss at latest follow-up (2.2° and 2.8°, respectively). Similarly, Quershi et al. (2</w:t>
      </w:r>
      <w:r w:rsidR="00141045">
        <w:t>8</w:t>
      </w:r>
      <w:r w:rsidRPr="000F202D">
        <w:t xml:space="preserve">) reported that anterior approach cannot significantly correct deformity while posterior approach gives better correction of deformity. This may be attributed to pedicular system which allows better kyphotic angle correction than anterior system. Similarly, the degree of angle loss at latest follow up was significantly less in the posterior group than anterior. </w:t>
      </w:r>
    </w:p>
    <w:p w14:paraId="005DA943" w14:textId="77777777" w:rsidR="000F202D" w:rsidRPr="000F202D" w:rsidRDefault="000F202D" w:rsidP="000F202D">
      <w:pPr>
        <w:rPr>
          <w:lang w:val="en-US"/>
        </w:rPr>
      </w:pPr>
      <w:r w:rsidRPr="000F202D">
        <w:rPr>
          <w:lang w:val="en-US"/>
        </w:rPr>
        <w:t xml:space="preserve">Regarding hospital stay in our study, Group B demonstrated significantly higher hospital stay than group A (median = 12 vs. 8 days, P = 0.001). </w:t>
      </w:r>
    </w:p>
    <w:p w14:paraId="24332F1B" w14:textId="7FA5CABE" w:rsidR="000F202D" w:rsidRPr="000F202D" w:rsidRDefault="000F202D" w:rsidP="000F202D">
      <w:r w:rsidRPr="000F202D">
        <w:rPr>
          <w:lang w:val="en-US"/>
        </w:rPr>
        <w:t xml:space="preserve">In our study, </w:t>
      </w:r>
      <w:bookmarkStart w:id="13" w:name="_Hlk142638356"/>
      <w:r w:rsidRPr="000F202D">
        <w:rPr>
          <w:lang w:val="en-US"/>
        </w:rPr>
        <w:t xml:space="preserve">Posterior group exhibited significantly higher operative time (194 ±25 vs. 169 ±22, P = 0.008) and blood loss (882 ±132 vs. 661 ±108, P &lt; 0.001) than Anterior group. </w:t>
      </w:r>
      <w:bookmarkEnd w:id="13"/>
      <w:r w:rsidRPr="000F202D">
        <w:rPr>
          <w:lang w:val="en-US"/>
        </w:rPr>
        <w:t>Similar results were achieved by Hassan K. et al., 2016 (2</w:t>
      </w:r>
      <w:r w:rsidR="00141045">
        <w:rPr>
          <w:lang w:val="en-US"/>
        </w:rPr>
        <w:t>6</w:t>
      </w:r>
      <w:r w:rsidRPr="000F202D">
        <w:rPr>
          <w:lang w:val="en-US"/>
        </w:rPr>
        <w:t xml:space="preserve">) </w:t>
      </w:r>
      <w:r w:rsidRPr="000F202D">
        <w:t>as the average operative time of anterior group was significantly less than posterior one (P=0.05). Also, blood loss and blood transfusion in their study were significantly less in anterior group, than posterior one (P=0.05).</w:t>
      </w:r>
    </w:p>
    <w:p w14:paraId="5AA2E863" w14:textId="1D08B30A" w:rsidR="000F202D" w:rsidRPr="000F202D" w:rsidRDefault="000F202D" w:rsidP="000F202D">
      <w:bookmarkStart w:id="14" w:name="_Hlk142638316"/>
      <w:r w:rsidRPr="000F202D">
        <w:rPr>
          <w:lang w:val="en-US"/>
        </w:rPr>
        <w:t xml:space="preserve">According to Brantigan criteria, most patients in group A (80%) demonstrated fused criteria compared to 66.7% in group B. Probably fused criteria was reported in 20% of group A compared to 26.7% in group B, with no significant difference (P = 0.682). </w:t>
      </w:r>
      <w:bookmarkEnd w:id="14"/>
      <w:r w:rsidRPr="000F202D">
        <w:rPr>
          <w:lang w:val="en-US"/>
        </w:rPr>
        <w:t>Similarly in the study of Hassan K. et al., 2016 (2</w:t>
      </w:r>
      <w:r w:rsidR="00141045">
        <w:rPr>
          <w:lang w:val="en-US"/>
        </w:rPr>
        <w:t>6</w:t>
      </w:r>
      <w:r w:rsidRPr="000F202D">
        <w:rPr>
          <w:lang w:val="en-US"/>
        </w:rPr>
        <w:t xml:space="preserve">) </w:t>
      </w:r>
      <w:r w:rsidRPr="000F202D">
        <w:t>fusion was considered certain in all 20 patients of the anterior group (100 %) and 21 patients of the posterior group (95.4 %).</w:t>
      </w:r>
    </w:p>
    <w:p w14:paraId="36BA146D" w14:textId="606EAEDA" w:rsidR="000F202D" w:rsidRPr="000F202D" w:rsidRDefault="00141045" w:rsidP="000F202D">
      <w:pPr>
        <w:rPr>
          <w:lang w:val="en-US"/>
        </w:rPr>
      </w:pPr>
      <w:bookmarkStart w:id="15" w:name="_Hlk142638426"/>
      <w:r w:rsidRPr="00141045">
        <w:rPr>
          <w:b/>
          <w:bCs/>
        </w:rPr>
        <w:t>Complications:</w:t>
      </w:r>
      <w:r>
        <w:t xml:space="preserve"> </w:t>
      </w:r>
      <w:r w:rsidR="000F202D" w:rsidRPr="000F202D">
        <w:rPr>
          <w:lang w:val="en-US"/>
        </w:rPr>
        <w:t xml:space="preserve">In our study only one patient in group A had complicated wound healing compared to three patients in group B, with no significant difference (P = 0.598). And one patient in group A had infection recurrence compared to two patients in group B, with no significant difference (P = 1.0). </w:t>
      </w:r>
    </w:p>
    <w:bookmarkEnd w:id="15"/>
    <w:p w14:paraId="26B58745" w14:textId="7CFAEC8B" w:rsidR="00141045" w:rsidRDefault="00141045" w:rsidP="00141045">
      <w:r w:rsidRPr="00141045">
        <w:rPr>
          <w:b/>
          <w:bCs/>
        </w:rPr>
        <w:t>Conclusion:</w:t>
      </w:r>
      <w:r>
        <w:t xml:space="preserve"> </w:t>
      </w:r>
      <w:bookmarkStart w:id="16" w:name="_Hlk142634362"/>
      <w:r w:rsidR="00985A13" w:rsidRPr="00F96877">
        <w:t xml:space="preserve">Both the anterior and posterior approaches are effective in accomplishing the objectives of surgical intervention for thoracic and lumbar Spondylodiscitis. However, the posterior approach provides notably superior correction of the kyphotic angle, albeit at the cost of increased operative time, prolonged hospital </w:t>
      </w:r>
      <w:proofErr w:type="gramStart"/>
      <w:r w:rsidR="00985A13" w:rsidRPr="00F96877">
        <w:t>stay</w:t>
      </w:r>
      <w:proofErr w:type="gramEnd"/>
      <w:r w:rsidR="00985A13" w:rsidRPr="00F96877">
        <w:t>, and greater blood loss</w:t>
      </w:r>
      <w:r w:rsidR="00985A13">
        <w:rPr>
          <w:rFonts w:ascii="Segoe UI" w:hAnsi="Segoe UI" w:cs="Segoe UI"/>
          <w:color w:val="374151"/>
          <w:shd w:val="clear" w:color="auto" w:fill="F7F7F8"/>
        </w:rPr>
        <w:t>.</w:t>
      </w:r>
    </w:p>
    <w:p w14:paraId="50375269" w14:textId="4003B290" w:rsidR="00141045" w:rsidRPr="00141045" w:rsidRDefault="00141045" w:rsidP="00141045">
      <w:pPr>
        <w:rPr>
          <w:b/>
          <w:bCs/>
        </w:rPr>
      </w:pPr>
      <w:r w:rsidRPr="00141045">
        <w:rPr>
          <w:b/>
          <w:bCs/>
        </w:rPr>
        <w:lastRenderedPageBreak/>
        <w:t>Reference:</w:t>
      </w:r>
    </w:p>
    <w:bookmarkEnd w:id="16"/>
    <w:p w14:paraId="48A62D8D" w14:textId="75B1B1E3" w:rsidR="00141045" w:rsidRPr="00141045" w:rsidRDefault="00141045" w:rsidP="00141045">
      <w:pPr>
        <w:numPr>
          <w:ilvl w:val="0"/>
          <w:numId w:val="1"/>
        </w:numPr>
      </w:pPr>
      <w:r w:rsidRPr="00141045">
        <w:t>Tayles N, Buckley HR (2004) Leprosy and tuberculosis in iron age southeast Asia? Am J Phys Anthropol 125(3):239–256</w:t>
      </w:r>
      <w:r w:rsidR="00E464C2">
        <w:t>.</w:t>
      </w:r>
    </w:p>
    <w:p w14:paraId="2A2E5364" w14:textId="77777777" w:rsidR="00141045" w:rsidRPr="00141045" w:rsidRDefault="00141045" w:rsidP="00141045">
      <w:pPr>
        <w:numPr>
          <w:ilvl w:val="0"/>
          <w:numId w:val="1"/>
        </w:numPr>
      </w:pPr>
      <w:r w:rsidRPr="00141045">
        <w:t>Camillo FX (2008) Infections of the spine. In: Canale ST, Beaty JH (eds) Campbell’s operative orthopaedics. Mosby Elsevier, Philadelphia</w:t>
      </w:r>
    </w:p>
    <w:p w14:paraId="4E41DCA6" w14:textId="77777777" w:rsidR="00141045" w:rsidRPr="00141045" w:rsidRDefault="00141045" w:rsidP="00141045">
      <w:pPr>
        <w:numPr>
          <w:ilvl w:val="0"/>
          <w:numId w:val="1"/>
        </w:numPr>
      </w:pPr>
      <w:r w:rsidRPr="00141045">
        <w:t xml:space="preserve">Humyskens J, Van Goethem J, Faure M, Van Den Hauwe L, De Belder F, Venstermans C, Parizel PM: Overview of the complications and sequelae in spinal infections. Neuroimaging Clin N A25:309- 321, 2015 </w:t>
      </w:r>
    </w:p>
    <w:p w14:paraId="4FBAA46B" w14:textId="77777777" w:rsidR="00141045" w:rsidRPr="00141045" w:rsidRDefault="00141045" w:rsidP="00141045">
      <w:pPr>
        <w:numPr>
          <w:ilvl w:val="0"/>
          <w:numId w:val="1"/>
        </w:numPr>
      </w:pPr>
      <w:r w:rsidRPr="00141045">
        <w:t xml:space="preserve">Isaac O. Karikari, Ciaran J, Powers, Renee M Reynolds, Ankit I Mehta, Robert E. Isaacs: Management of a spontaneous spinal epidural abscess: A single center </w:t>
      </w:r>
      <w:proofErr w:type="gramStart"/>
      <w:r w:rsidRPr="00141045">
        <w:t>10 year</w:t>
      </w:r>
      <w:proofErr w:type="gramEnd"/>
      <w:r w:rsidRPr="00141045">
        <w:t xml:space="preserve"> experience. Neurosurgery 65:919-924, 2009 </w:t>
      </w:r>
    </w:p>
    <w:p w14:paraId="46428E16" w14:textId="77777777" w:rsidR="00141045" w:rsidRPr="00141045" w:rsidRDefault="00141045" w:rsidP="00141045">
      <w:pPr>
        <w:numPr>
          <w:ilvl w:val="0"/>
          <w:numId w:val="1"/>
        </w:numPr>
      </w:pPr>
      <w:r w:rsidRPr="00141045">
        <w:t xml:space="preserve">Saladin, K. (2014):  Human anatomy, McGraw-Hill. p.151-182. </w:t>
      </w:r>
    </w:p>
    <w:p w14:paraId="0251CD72" w14:textId="77777777" w:rsidR="00141045" w:rsidRPr="00141045" w:rsidRDefault="00141045" w:rsidP="00141045">
      <w:pPr>
        <w:numPr>
          <w:ilvl w:val="0"/>
          <w:numId w:val="1"/>
        </w:numPr>
      </w:pPr>
      <w:r w:rsidRPr="00141045">
        <w:t>Waxenbaum, J. &amp; Futterman, B. (2019): Anatomy, Back, Intervertebral Discs. In: StatPearls. StatPearls Publishing, Treasure Island (FL).</w:t>
      </w:r>
    </w:p>
    <w:p w14:paraId="17432DA9" w14:textId="77777777" w:rsidR="00141045" w:rsidRPr="00141045" w:rsidRDefault="00141045" w:rsidP="00141045">
      <w:pPr>
        <w:numPr>
          <w:ilvl w:val="0"/>
          <w:numId w:val="1"/>
        </w:numPr>
      </w:pPr>
      <w:r w:rsidRPr="00141045">
        <w:t xml:space="preserve">Jaramillo-de-la Torre JJ, Bohinski RJ, Kuntz </w:t>
      </w:r>
      <w:proofErr w:type="gramStart"/>
      <w:r w:rsidRPr="00141045">
        <w:t>C:Vertebral</w:t>
      </w:r>
      <w:proofErr w:type="gramEnd"/>
      <w:r w:rsidRPr="00141045">
        <w:t xml:space="preserve"> osteomyelitis .Neurosurgery of North America 17:339-351, 2006 </w:t>
      </w:r>
    </w:p>
    <w:p w14:paraId="073B7C6D" w14:textId="77777777" w:rsidR="00141045" w:rsidRPr="00141045" w:rsidRDefault="00141045" w:rsidP="00141045">
      <w:pPr>
        <w:numPr>
          <w:ilvl w:val="0"/>
          <w:numId w:val="1"/>
        </w:numPr>
      </w:pPr>
      <w:r w:rsidRPr="00141045">
        <w:t xml:space="preserve">Sapico FL, Montogomerie JZ: Vertebral osteomyelitis. Infect Dis Clin North Am 3;539- 550, </w:t>
      </w:r>
      <w:proofErr w:type="gramStart"/>
      <w:r w:rsidRPr="00141045">
        <w:t>1990</w:t>
      </w:r>
      <w:proofErr w:type="gramEnd"/>
      <w:r w:rsidRPr="00141045">
        <w:t xml:space="preserve"> </w:t>
      </w:r>
    </w:p>
    <w:p w14:paraId="1021056B" w14:textId="77777777" w:rsidR="00141045" w:rsidRPr="00141045" w:rsidRDefault="00141045" w:rsidP="00141045">
      <w:pPr>
        <w:numPr>
          <w:ilvl w:val="0"/>
          <w:numId w:val="1"/>
        </w:numPr>
      </w:pPr>
      <w:r w:rsidRPr="00141045">
        <w:t xml:space="preserve">Yee DKH, Samartzis D, Wong YW, Luk KDK, Cheung KMC: Infective spondylitis in southern Chinese. A descriptive and comparative study of </w:t>
      </w:r>
      <w:proofErr w:type="gramStart"/>
      <w:r w:rsidRPr="00141045">
        <w:t>ninety one</w:t>
      </w:r>
      <w:proofErr w:type="gramEnd"/>
      <w:r w:rsidRPr="00141045">
        <w:t xml:space="preserve"> cases. Spine 35:635-641, 2010 </w:t>
      </w:r>
    </w:p>
    <w:p w14:paraId="5DD9869A" w14:textId="77777777" w:rsidR="00141045" w:rsidRPr="00141045" w:rsidRDefault="00141045" w:rsidP="00141045">
      <w:pPr>
        <w:numPr>
          <w:ilvl w:val="0"/>
          <w:numId w:val="1"/>
        </w:numPr>
      </w:pPr>
      <w:r w:rsidRPr="00141045">
        <w:t xml:space="preserve">Butler JS, Shelly MJ, Timlin, Powderly WG, O Byrne </w:t>
      </w:r>
      <w:proofErr w:type="gramStart"/>
      <w:r w:rsidRPr="00141045">
        <w:t>JM:Non</w:t>
      </w:r>
      <w:proofErr w:type="gramEnd"/>
      <w:r w:rsidRPr="00141045">
        <w:t xml:space="preserve"> tuberculous spinal infection in adults.A 12- year experience from a tertiary referral center. Spine 31:2695-2700, 2006 </w:t>
      </w:r>
    </w:p>
    <w:p w14:paraId="7D0DACA4" w14:textId="77777777" w:rsidR="00141045" w:rsidRPr="00141045" w:rsidRDefault="00141045" w:rsidP="00141045">
      <w:pPr>
        <w:numPr>
          <w:ilvl w:val="0"/>
          <w:numId w:val="1"/>
        </w:numPr>
      </w:pPr>
      <w:r w:rsidRPr="00141045">
        <w:t xml:space="preserve">Hiroyuki </w:t>
      </w:r>
      <w:proofErr w:type="gramStart"/>
      <w:r w:rsidRPr="00141045">
        <w:t>Nakase,Ryosuke</w:t>
      </w:r>
      <w:proofErr w:type="gramEnd"/>
      <w:r w:rsidRPr="00141045">
        <w:t xml:space="preserve"> Matsuda,Ryo Tamaki, Rinsei Tei, Young Su Park,Toshisuke Sakaki: Two stage management for vertebral osteomyelitis and epidural abscess:technical note. Neurosurgery 58:12191224, 2006. </w:t>
      </w:r>
    </w:p>
    <w:p w14:paraId="10A50299" w14:textId="77777777" w:rsidR="00141045" w:rsidRPr="00141045" w:rsidRDefault="00141045" w:rsidP="00141045">
      <w:pPr>
        <w:numPr>
          <w:ilvl w:val="0"/>
          <w:numId w:val="1"/>
        </w:numPr>
      </w:pPr>
      <w:r w:rsidRPr="00141045">
        <w:t>Neumann, D. (2013): Kinesiology of the musculoskeletal system-e-book: foundations for rehabilitation. Elsevier Health Sciences.</w:t>
      </w:r>
    </w:p>
    <w:p w14:paraId="2561542B" w14:textId="77777777" w:rsidR="00141045" w:rsidRDefault="00141045" w:rsidP="00141045">
      <w:pPr>
        <w:numPr>
          <w:ilvl w:val="0"/>
          <w:numId w:val="1"/>
        </w:numPr>
      </w:pPr>
      <w:r w:rsidRPr="00141045">
        <w:t xml:space="preserve">Wisneski RJ: Infectious disease of the spine: Diagnostic and treatment considerations. Orthop Clin North Am 22:491-501, </w:t>
      </w:r>
      <w:proofErr w:type="gramStart"/>
      <w:r w:rsidRPr="00141045">
        <w:t>1991</w:t>
      </w:r>
      <w:proofErr w:type="gramEnd"/>
      <w:r w:rsidRPr="00141045">
        <w:t xml:space="preserve"> </w:t>
      </w:r>
    </w:p>
    <w:p w14:paraId="19994EEC" w14:textId="77777777" w:rsidR="00141045" w:rsidRDefault="00141045" w:rsidP="00141045">
      <w:pPr>
        <w:numPr>
          <w:ilvl w:val="0"/>
          <w:numId w:val="1"/>
        </w:numPr>
      </w:pPr>
      <w:r>
        <w:t>Briggs M, Closs JS. A descriptive study of the use of visual analogue scales and verbal rating scales for the assessment of postoperative pain in orthopedic patients. Journal of pain and symptom management. 1999 Dec 1;18(6):438-46.</w:t>
      </w:r>
    </w:p>
    <w:p w14:paraId="297571C7" w14:textId="77777777" w:rsidR="00141045" w:rsidRDefault="00141045" w:rsidP="00141045">
      <w:pPr>
        <w:numPr>
          <w:ilvl w:val="0"/>
          <w:numId w:val="1"/>
        </w:numPr>
      </w:pPr>
      <w:r>
        <w:t xml:space="preserve">Frankel HL, Hancok </w:t>
      </w:r>
      <w:proofErr w:type="gramStart"/>
      <w:r>
        <w:t>DO,Hyslop</w:t>
      </w:r>
      <w:proofErr w:type="gramEnd"/>
      <w:r>
        <w:t xml:space="preserve"> G,Melzak J, Michaelis LS, Ungar GH, Vernon JD, Walsh JJ: The value of postural reduction in the initial management of closed injury of the spine with paraplegia and tetraplegia. Paraplegia 7:179-192, 1969</w:t>
      </w:r>
    </w:p>
    <w:p w14:paraId="199AA20F" w14:textId="77777777" w:rsidR="00141045" w:rsidRDefault="00141045" w:rsidP="00141045">
      <w:pPr>
        <w:numPr>
          <w:ilvl w:val="0"/>
          <w:numId w:val="1"/>
        </w:numPr>
      </w:pPr>
      <w:r>
        <w:lastRenderedPageBreak/>
        <w:t>Brantigan JW, Steffee AD, Lewis ML, Quinn LM, Persenaire JM. Lumbar interbody fusion using the Brantigan I/F cage for posterior lumbar interbody fusion and the variable pedicle screw placement system: two-year results from a Food and Drug Administration investigational device exemption clinical trial. Spine. 2000 Jun 1;25(11):1437-46.</w:t>
      </w:r>
    </w:p>
    <w:p w14:paraId="5C47C6DB" w14:textId="77777777" w:rsidR="00141045" w:rsidRDefault="00141045" w:rsidP="00141045">
      <w:pPr>
        <w:numPr>
          <w:ilvl w:val="0"/>
          <w:numId w:val="1"/>
        </w:numPr>
      </w:pPr>
      <w:r>
        <w:t xml:space="preserve">BRADFORD DS, MCBRIDE GG. Surgical management of thoracolumbar spine fractures with incomplete neurologic deficits. Clinical Orthopaedics and Related Research®. 1987 May </w:t>
      </w:r>
      <w:proofErr w:type="gramStart"/>
      <w:r>
        <w:t>1;218:201</w:t>
      </w:r>
      <w:proofErr w:type="gramEnd"/>
      <w:r>
        <w:t>-16.</w:t>
      </w:r>
    </w:p>
    <w:p w14:paraId="48A49C3F" w14:textId="77777777" w:rsidR="00141045" w:rsidRDefault="00141045" w:rsidP="00141045">
      <w:pPr>
        <w:numPr>
          <w:ilvl w:val="0"/>
          <w:numId w:val="1"/>
        </w:numPr>
      </w:pPr>
      <w:r>
        <w:t>Fairbank JC, Pynsent PB. The Oswestry disability index. Spine. 2000 Nov 15;25(22):2940-53.</w:t>
      </w:r>
    </w:p>
    <w:p w14:paraId="315CA888" w14:textId="77777777" w:rsidR="00141045" w:rsidRPr="00141045" w:rsidRDefault="00141045" w:rsidP="00141045">
      <w:pPr>
        <w:pStyle w:val="ListParagraph"/>
        <w:numPr>
          <w:ilvl w:val="0"/>
          <w:numId w:val="1"/>
        </w:numPr>
      </w:pPr>
      <w:r w:rsidRPr="00141045">
        <w:t>Peacock, J., &amp; Peacock, P. (2020). Oxford handbook of medical statistics (2nd ed.). Oxford university press.</w:t>
      </w:r>
      <w:r w:rsidRPr="00141045">
        <w:rPr>
          <w:rFonts w:cs="Arial"/>
          <w:rtl/>
        </w:rPr>
        <w:t>‏</w:t>
      </w:r>
    </w:p>
    <w:p w14:paraId="37F33640" w14:textId="77777777" w:rsidR="00141045" w:rsidRDefault="00141045" w:rsidP="00141045">
      <w:pPr>
        <w:numPr>
          <w:ilvl w:val="0"/>
          <w:numId w:val="1"/>
        </w:numPr>
      </w:pPr>
      <w:r>
        <w:t xml:space="preserve">Mann </w:t>
      </w:r>
      <w:proofErr w:type="gramStart"/>
      <w:r>
        <w:t>S ,</w:t>
      </w:r>
      <w:proofErr w:type="gramEnd"/>
      <w:r>
        <w:t xml:space="preserve"> Schutze M , Sola S AND Piek J : Nonspecific pyogenic spondylodiscitis: clinical manifestations, surgical treatment, and outcome in 24 patients : Neurosurg Focus 17 (2004) (6):E3</w:t>
      </w:r>
    </w:p>
    <w:p w14:paraId="0875099F" w14:textId="77777777" w:rsidR="00141045" w:rsidRDefault="00141045" w:rsidP="00141045">
      <w:pPr>
        <w:numPr>
          <w:ilvl w:val="0"/>
          <w:numId w:val="1"/>
        </w:numPr>
      </w:pPr>
      <w:r>
        <w:t xml:space="preserve">Lin, T., Tsai, T., Lu, M., Niu, C. et al., (2014): Comparison of two-stage open versus percutaneous pedicle screw fixation in treating pyogenic spondylodiscitis. BMC musculoskeletal disorders, 15(1), 1-8. </w:t>
      </w:r>
    </w:p>
    <w:p w14:paraId="0CFEE079" w14:textId="77777777" w:rsidR="00141045" w:rsidRDefault="00141045" w:rsidP="00141045">
      <w:pPr>
        <w:numPr>
          <w:ilvl w:val="0"/>
          <w:numId w:val="1"/>
        </w:numPr>
      </w:pPr>
      <w:r>
        <w:t xml:space="preserve">Korovessis, P., Petsinis, G., Koureas, G., Iliopoulos, P. &amp; Zacharatos, S. (2006): Anterior surgery with insertion of titanium mesh cage and posterior instrumented fusion performed sequentially on the same day under one anesthesia for septic spondylitis of thoracolumbar spine: is the use of titanium mesh cages </w:t>
      </w:r>
      <w:proofErr w:type="gramStart"/>
      <w:r>
        <w:t>safe?.</w:t>
      </w:r>
      <w:proofErr w:type="gramEnd"/>
      <w:r>
        <w:t xml:space="preserve"> Spine, Lippincott Williams &amp; Wilkins, Inc. 31(9), 1014-1019</w:t>
      </w:r>
    </w:p>
    <w:p w14:paraId="28F62EEA" w14:textId="77777777" w:rsidR="00141045" w:rsidRDefault="00141045" w:rsidP="00141045">
      <w:pPr>
        <w:numPr>
          <w:ilvl w:val="0"/>
          <w:numId w:val="1"/>
        </w:numPr>
      </w:pPr>
      <w:r>
        <w:t>Pee, Y., Park, J., Choi, Y. &amp; Lee, S. (2008): Anterior debridement and fusion followed by posterior pedicle screw fixation in pyogenic spondylodiscitis: autologous iliac bone strut versus cage. Journal of Neurosurgery: Spine, 8(5), 405-412</w:t>
      </w:r>
    </w:p>
    <w:p w14:paraId="0772A040" w14:textId="77777777" w:rsidR="00141045" w:rsidRDefault="00141045" w:rsidP="00141045">
      <w:pPr>
        <w:numPr>
          <w:ilvl w:val="0"/>
          <w:numId w:val="1"/>
        </w:numPr>
      </w:pPr>
      <w:r>
        <w:t>Včelák, J., Chomiak, J. &amp; Toth, L. (2014): Surgical treatment of lumbar spondylodiscitis: a comparison of two methods. International orthopaedics, 38(7), 1425-1434</w:t>
      </w:r>
    </w:p>
    <w:p w14:paraId="70D8F826" w14:textId="537A778A" w:rsidR="00141045" w:rsidRDefault="00141045" w:rsidP="00141045">
      <w:pPr>
        <w:numPr>
          <w:ilvl w:val="0"/>
          <w:numId w:val="1"/>
        </w:numPr>
      </w:pPr>
      <w:r>
        <w:t>Endres, S. &amp; Wilke, A. (2012): Posterior interbody grafting and instrumentation for spondylodiscitis. Journal of Orthopaedic Surgery, 20(1), 1-6.</w:t>
      </w:r>
    </w:p>
    <w:p w14:paraId="51C2DBA4" w14:textId="77777777" w:rsidR="00141045" w:rsidRPr="00141045" w:rsidRDefault="00141045" w:rsidP="00141045">
      <w:pPr>
        <w:pStyle w:val="ListParagraph"/>
        <w:numPr>
          <w:ilvl w:val="0"/>
          <w:numId w:val="1"/>
        </w:numPr>
      </w:pPr>
      <w:r w:rsidRPr="00141045">
        <w:t>Hassan, K., &amp; Elmorshidy, E. (2016). Anterior versus posterior approach in surgical treatment of tuberculous spondylodiscitis of thoracic and lumbar spine. European Spine Journal, 25(4), 1056–1063.</w:t>
      </w:r>
    </w:p>
    <w:p w14:paraId="37CC1AB9" w14:textId="77777777" w:rsidR="00E464C2" w:rsidRDefault="00E464C2" w:rsidP="00E464C2">
      <w:pPr>
        <w:numPr>
          <w:ilvl w:val="0"/>
          <w:numId w:val="1"/>
        </w:numPr>
      </w:pPr>
      <w:r>
        <w:t>Bhavuk G, Pankaj K, Upendra B, Ankeur G, Arvined J (2012) Anterior versus posterior procedure for surgical treatment of thoracolumbar tuberculosis: a retrospective analysis. Indian Orthop 46(2):165–170</w:t>
      </w:r>
    </w:p>
    <w:p w14:paraId="19D437C8" w14:textId="279394C3" w:rsidR="00E464C2" w:rsidRPr="00141045" w:rsidRDefault="00E464C2" w:rsidP="00E464C2">
      <w:pPr>
        <w:numPr>
          <w:ilvl w:val="0"/>
          <w:numId w:val="1"/>
        </w:numPr>
      </w:pPr>
      <w:r>
        <w:lastRenderedPageBreak/>
        <w:t>Qureshi MA, Khalique AB, Afzal W, Pasha IF, Aebi M (2013) Surgical management of contiguous multilevel thoracolumbar tuberculous spondylitis. Eur Spine J 22(Suppl 4):618–623</w:t>
      </w:r>
    </w:p>
    <w:sectPr w:rsidR="00E464C2" w:rsidRPr="00141045">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51AE"/>
    <w:multiLevelType w:val="hybridMultilevel"/>
    <w:tmpl w:val="BDFE6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73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8B"/>
    <w:rsid w:val="00045E92"/>
    <w:rsid w:val="000C069B"/>
    <w:rsid w:val="000F202D"/>
    <w:rsid w:val="00141045"/>
    <w:rsid w:val="001A60EC"/>
    <w:rsid w:val="002D67F9"/>
    <w:rsid w:val="003925CF"/>
    <w:rsid w:val="00505873"/>
    <w:rsid w:val="0064327D"/>
    <w:rsid w:val="00985A13"/>
    <w:rsid w:val="00996838"/>
    <w:rsid w:val="009B21B2"/>
    <w:rsid w:val="009C1566"/>
    <w:rsid w:val="00A47AD2"/>
    <w:rsid w:val="00A91D13"/>
    <w:rsid w:val="00AB7055"/>
    <w:rsid w:val="00B53A62"/>
    <w:rsid w:val="00BC44E8"/>
    <w:rsid w:val="00BF2CB3"/>
    <w:rsid w:val="00CC4E8B"/>
    <w:rsid w:val="00E464C2"/>
    <w:rsid w:val="00E86777"/>
    <w:rsid w:val="00F130EF"/>
    <w:rsid w:val="00F15B76"/>
    <w:rsid w:val="00F968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39E2"/>
  <w15:chartTrackingRefBased/>
  <w15:docId w15:val="{D8D83F6B-82FF-4A8D-A777-07C0A34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80548">
      <w:bodyDiv w:val="1"/>
      <w:marLeft w:val="0"/>
      <w:marRight w:val="0"/>
      <w:marTop w:val="0"/>
      <w:marBottom w:val="0"/>
      <w:divBdr>
        <w:top w:val="none" w:sz="0" w:space="0" w:color="auto"/>
        <w:left w:val="none" w:sz="0" w:space="0" w:color="auto"/>
        <w:bottom w:val="none" w:sz="0" w:space="0" w:color="auto"/>
        <w:right w:val="none" w:sz="0" w:space="0" w:color="auto"/>
      </w:divBdr>
    </w:div>
    <w:div w:id="920019645">
      <w:bodyDiv w:val="1"/>
      <w:marLeft w:val="0"/>
      <w:marRight w:val="0"/>
      <w:marTop w:val="0"/>
      <w:marBottom w:val="0"/>
      <w:divBdr>
        <w:top w:val="none" w:sz="0" w:space="0" w:color="auto"/>
        <w:left w:val="none" w:sz="0" w:space="0" w:color="auto"/>
        <w:bottom w:val="none" w:sz="0" w:space="0" w:color="auto"/>
        <w:right w:val="none" w:sz="0" w:space="0" w:color="auto"/>
      </w:divBdr>
    </w:div>
    <w:div w:id="1235700967">
      <w:bodyDiv w:val="1"/>
      <w:marLeft w:val="0"/>
      <w:marRight w:val="0"/>
      <w:marTop w:val="0"/>
      <w:marBottom w:val="0"/>
      <w:divBdr>
        <w:top w:val="none" w:sz="0" w:space="0" w:color="auto"/>
        <w:left w:val="none" w:sz="0" w:space="0" w:color="auto"/>
        <w:bottom w:val="none" w:sz="0" w:space="0" w:color="auto"/>
        <w:right w:val="none" w:sz="0" w:space="0" w:color="auto"/>
      </w:divBdr>
    </w:div>
    <w:div w:id="20161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hossam.saad@fmed.bu.edu.eg</dc:creator>
  <cp:keywords/>
  <dc:description/>
  <cp:lastModifiedBy>hossam.saad@fmed.bu.edu.eg</cp:lastModifiedBy>
  <cp:revision>8</cp:revision>
  <dcterms:created xsi:type="dcterms:W3CDTF">2023-08-10T22:33:00Z</dcterms:created>
  <dcterms:modified xsi:type="dcterms:W3CDTF">2023-08-11T21:25:00Z</dcterms:modified>
</cp:coreProperties>
</file>